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8833E" w14:textId="740F14BE" w:rsidR="00012370" w:rsidRPr="00012370" w:rsidRDefault="00012370" w:rsidP="003B3457">
      <w:pPr>
        <w:pStyle w:val="3GPPHeader"/>
        <w:rPr>
          <w:sz w:val="32"/>
          <w:szCs w:val="32"/>
          <w:highlight w:val="yellow"/>
        </w:rPr>
      </w:pPr>
      <w:r w:rsidRPr="00012370">
        <w:t>3GPP TSG-RAN WG1 Meeting #10</w:t>
      </w:r>
      <w:r w:rsidR="00B5110E">
        <w:t>7</w:t>
      </w:r>
      <w:r w:rsidRPr="00012370">
        <w:t>-e</w:t>
      </w:r>
      <w:r w:rsidRPr="00012370">
        <w:tab/>
      </w:r>
      <w:r w:rsidRPr="00012370">
        <w:rPr>
          <w:sz w:val="32"/>
          <w:szCs w:val="32"/>
        </w:rPr>
        <w:t>R1-21</w:t>
      </w:r>
      <w:r w:rsidR="00A64B37">
        <w:rPr>
          <w:sz w:val="32"/>
          <w:szCs w:val="32"/>
        </w:rPr>
        <w:t>11415</w:t>
      </w:r>
    </w:p>
    <w:p w14:paraId="015FB29A" w14:textId="1A9F5FC1" w:rsidR="00012370" w:rsidRPr="00012370" w:rsidRDefault="00012370" w:rsidP="003B3457">
      <w:pPr>
        <w:pStyle w:val="3GPPHeader"/>
      </w:pPr>
      <w:r w:rsidRPr="00012370">
        <w:t xml:space="preserve">e-Meeting, </w:t>
      </w:r>
      <w:r w:rsidR="00B5110E">
        <w:t>November</w:t>
      </w:r>
      <w:r w:rsidRPr="00012370">
        <w:t xml:space="preserve"> 11</w:t>
      </w:r>
      <w:r w:rsidRPr="00012370">
        <w:rPr>
          <w:vertAlign w:val="superscript"/>
        </w:rPr>
        <w:t>th</w:t>
      </w:r>
      <w:r w:rsidRPr="00012370">
        <w:t xml:space="preserve"> – 19</w:t>
      </w:r>
      <w:r w:rsidRPr="00012370">
        <w:rPr>
          <w:vertAlign w:val="superscript"/>
        </w:rPr>
        <w:t>th</w:t>
      </w:r>
      <w:r w:rsidRPr="00012370">
        <w:t>, 2021</w:t>
      </w:r>
    </w:p>
    <w:p w14:paraId="468E045B" w14:textId="77777777" w:rsidR="00E7243C" w:rsidRPr="007A1806" w:rsidRDefault="00E7243C" w:rsidP="003B3457">
      <w:pPr>
        <w:pStyle w:val="3GPPHeader"/>
      </w:pPr>
    </w:p>
    <w:p w14:paraId="3C6869D1" w14:textId="1AB6E5AF" w:rsidR="00E90E49" w:rsidRPr="007A1806" w:rsidRDefault="00E90E49" w:rsidP="003B3457">
      <w:pPr>
        <w:pStyle w:val="3GPPHeader"/>
      </w:pPr>
      <w:r w:rsidRPr="007A1806">
        <w:t>Agenda Item:</w:t>
      </w:r>
      <w:r w:rsidRPr="007A1806">
        <w:tab/>
      </w:r>
      <w:r w:rsidR="007434CD" w:rsidRPr="007A1806">
        <w:t>8</w:t>
      </w:r>
      <w:r w:rsidR="006500B6" w:rsidRPr="007A1806">
        <w:t>.</w:t>
      </w:r>
      <w:r w:rsidR="007434CD" w:rsidRPr="007A1806">
        <w:t>4.</w:t>
      </w:r>
      <w:r w:rsidR="00432D1E" w:rsidRPr="007A1806">
        <w:t>3</w:t>
      </w:r>
    </w:p>
    <w:p w14:paraId="0CB055DD" w14:textId="77777777" w:rsidR="00E90E49" w:rsidRPr="007A1806" w:rsidRDefault="003D3C45" w:rsidP="003B3457">
      <w:pPr>
        <w:pStyle w:val="3GPPHeader"/>
      </w:pPr>
      <w:r w:rsidRPr="007A1806">
        <w:t>Source:</w:t>
      </w:r>
      <w:r w:rsidR="00E90E49" w:rsidRPr="007A1806">
        <w:tab/>
      </w:r>
      <w:r w:rsidR="00F64C2B" w:rsidRPr="007A1806">
        <w:t>Ericsson</w:t>
      </w:r>
    </w:p>
    <w:p w14:paraId="63DAB814" w14:textId="143582FA" w:rsidR="00E90E49" w:rsidRPr="007A1806" w:rsidRDefault="003D3C45" w:rsidP="003B3457">
      <w:pPr>
        <w:pStyle w:val="3GPPHeader"/>
      </w:pPr>
      <w:r w:rsidRPr="007A1806">
        <w:t>Title:</w:t>
      </w:r>
      <w:r w:rsidR="00E90E49" w:rsidRPr="007A1806">
        <w:tab/>
      </w:r>
      <w:r w:rsidR="00915D11" w:rsidRPr="007A1806">
        <w:t xml:space="preserve">On </w:t>
      </w:r>
      <w:r w:rsidR="00432D1E" w:rsidRPr="007A1806">
        <w:t>HARQ</w:t>
      </w:r>
      <w:r w:rsidR="007434CD" w:rsidRPr="007A1806">
        <w:t xml:space="preserve"> enhancements</w:t>
      </w:r>
      <w:r w:rsidR="00915D11" w:rsidRPr="007A1806">
        <w:t xml:space="preserve"> for NTN</w:t>
      </w:r>
    </w:p>
    <w:p w14:paraId="76893D37" w14:textId="6ED9F32B" w:rsidR="00E90E49" w:rsidRPr="007A1806" w:rsidRDefault="00E90E49" w:rsidP="003B3457">
      <w:pPr>
        <w:pStyle w:val="3GPPHeader"/>
      </w:pPr>
      <w:r w:rsidRPr="007A1806">
        <w:t>Document for:</w:t>
      </w:r>
      <w:r w:rsidRPr="007A1806">
        <w:tab/>
        <w:t>Discussion</w:t>
      </w:r>
    </w:p>
    <w:p w14:paraId="09FE4FCF" w14:textId="57287C15" w:rsidR="00E90E49" w:rsidRPr="007A1806" w:rsidRDefault="00E90E49" w:rsidP="00A61576">
      <w:pPr>
        <w:pStyle w:val="Heading1"/>
        <w:rPr>
          <w:rFonts w:cs="Arial"/>
        </w:rPr>
      </w:pPr>
      <w:r w:rsidRPr="007A1806">
        <w:rPr>
          <w:rFonts w:cs="Arial"/>
        </w:rPr>
        <w:t>Introduction</w:t>
      </w:r>
    </w:p>
    <w:p w14:paraId="61D06A80" w14:textId="575DCEDC" w:rsidR="00C10DAF" w:rsidRPr="00C10DAF" w:rsidRDefault="007434CD" w:rsidP="003B3457">
      <w:r w:rsidRPr="007A1806">
        <w:t>The work item on solutions for NR to support non-terrestrial networks (NTN) was approved at RAN#86</w:t>
      </w:r>
      <w:r w:rsidR="0081032C" w:rsidRPr="007A1806">
        <w:t xml:space="preserve"> and the work item description</w:t>
      </w:r>
      <w:r w:rsidR="00432D1E" w:rsidRPr="007A1806">
        <w:t xml:space="preserve"> (WID)</w:t>
      </w:r>
      <w:r w:rsidR="0081032C" w:rsidRPr="007A1806">
        <w:t xml:space="preserve"> is updated in</w:t>
      </w:r>
      <w:r w:rsidR="000F0908">
        <w:t xml:space="preserve"> </w:t>
      </w:r>
      <w:r w:rsidR="000F0908">
        <w:fldChar w:fldCharType="begin"/>
      </w:r>
      <w:r w:rsidR="000F0908">
        <w:instrText xml:space="preserve"> REF _Ref45286859 \r \h </w:instrText>
      </w:r>
      <w:r w:rsidR="00142AAD">
        <w:instrText xml:space="preserve"> \* MERGEFORMAT </w:instrText>
      </w:r>
      <w:r w:rsidR="000F0908">
        <w:fldChar w:fldCharType="separate"/>
      </w:r>
      <w:r w:rsidR="00570DDB">
        <w:t>[1]</w:t>
      </w:r>
      <w:r w:rsidR="000F0908">
        <w:fldChar w:fldCharType="end"/>
      </w:r>
      <w:r w:rsidRPr="007A1806">
        <w:t>.</w:t>
      </w:r>
      <w:r w:rsidR="00432D1E" w:rsidRPr="007A1806">
        <w:t xml:space="preserve"> One objective is to specify HARQ enhancements for NTN. </w:t>
      </w:r>
      <w:r w:rsidR="00C10DAF" w:rsidRPr="0063525B">
        <w:t xml:space="preserve">An </w:t>
      </w:r>
      <w:r w:rsidR="00C10DAF">
        <w:t>o</w:t>
      </w:r>
      <w:r w:rsidR="00C10DAF" w:rsidRPr="0063525B">
        <w:t xml:space="preserve">verview of 3GPP </w:t>
      </w:r>
      <w:r w:rsidR="00C10DAF">
        <w:t>n</w:t>
      </w:r>
      <w:r w:rsidR="00C10DAF" w:rsidRPr="0063525B">
        <w:t>on-</w:t>
      </w:r>
      <w:r w:rsidR="00C10DAF">
        <w:t>t</w:t>
      </w:r>
      <w:r w:rsidR="00C10DAF" w:rsidRPr="0063525B">
        <w:t xml:space="preserve">errestrial </w:t>
      </w:r>
      <w:r w:rsidR="00C10DAF">
        <w:t>n</w:t>
      </w:r>
      <w:r w:rsidR="00C10DAF" w:rsidRPr="0063525B">
        <w:t>etworks</w:t>
      </w:r>
      <w:r w:rsidR="00C10DAF">
        <w:t xml:space="preserve"> can be found in </w:t>
      </w:r>
      <w:r w:rsidR="00C10DAF">
        <w:fldChar w:fldCharType="begin"/>
      </w:r>
      <w:r w:rsidR="00C10DAF">
        <w:instrText xml:space="preserve"> REF _Ref83987271 \r \h </w:instrText>
      </w:r>
      <w:r w:rsidR="00C10DAF">
        <w:fldChar w:fldCharType="separate"/>
      </w:r>
      <w:r w:rsidR="00570DDB">
        <w:t>[8]</w:t>
      </w:r>
      <w:r w:rsidR="00C10DAF">
        <w:fldChar w:fldCharType="end"/>
      </w:r>
      <w:r w:rsidR="00C10DAF">
        <w:t xml:space="preserve"> and</w:t>
      </w:r>
      <w:r w:rsidR="00C10DAF" w:rsidRPr="00F20B90">
        <w:t xml:space="preserve"> an overview of state of the art in LEO satellite access</w:t>
      </w:r>
      <w:r w:rsidR="00C10DAF">
        <w:t xml:space="preserve"> can be found in </w:t>
      </w:r>
      <w:r w:rsidR="00C10DAF">
        <w:fldChar w:fldCharType="begin"/>
      </w:r>
      <w:r w:rsidR="00C10DAF">
        <w:instrText xml:space="preserve"> REF _Ref82507023 \r \h </w:instrText>
      </w:r>
      <w:r w:rsidR="00C10DAF">
        <w:fldChar w:fldCharType="separate"/>
      </w:r>
      <w:r w:rsidR="00570DDB">
        <w:t>[9]</w:t>
      </w:r>
      <w:r w:rsidR="00C10DAF">
        <w:fldChar w:fldCharType="end"/>
      </w:r>
      <w:r w:rsidR="00C10DAF">
        <w:t>.</w:t>
      </w:r>
    </w:p>
    <w:p w14:paraId="1E42B39A" w14:textId="5EBF0930" w:rsidR="00432D1E" w:rsidRPr="007A1806" w:rsidRDefault="00432D1E" w:rsidP="003B3457">
      <w:r w:rsidRPr="007A1806">
        <w:t>In this contribution, we discuss HARQ enhancements for NTN per the WID objective:</w:t>
      </w:r>
    </w:p>
    <w:p w14:paraId="1607059B" w14:textId="21ECEDEC" w:rsidR="00432D1E" w:rsidRPr="007A1806" w:rsidRDefault="00432D1E" w:rsidP="003B3457">
      <w:r w:rsidRPr="007A1806">
        <w:rPr>
          <w:noProof/>
        </w:rPr>
        <mc:AlternateContent>
          <mc:Choice Requires="wps">
            <w:drawing>
              <wp:inline distT="0" distB="0" distL="0" distR="0" wp14:anchorId="65880818" wp14:editId="3B2B90FC">
                <wp:extent cx="6120765" cy="874644"/>
                <wp:effectExtent l="0" t="0" r="13335"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4644"/>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5E0B54" w:rsidRPr="000F0908" w:rsidRDefault="005E0B54" w:rsidP="003B3457">
                            <w:pPr>
                              <w:pStyle w:val="ListParagraph"/>
                              <w:numPr>
                                <w:ilvl w:val="0"/>
                                <w:numId w:val="14"/>
                              </w:numPr>
                              <w:rPr>
                                <w:rFonts w:eastAsia="Times New Roman"/>
                              </w:rPr>
                            </w:pPr>
                            <w:r w:rsidRPr="000F0908">
                              <w:t>HARQ</w:t>
                            </w:r>
                          </w:p>
                          <w:p w14:paraId="4E1CE3A9" w14:textId="77777777" w:rsidR="005E0B54" w:rsidRPr="000F0908" w:rsidRDefault="005E0B54" w:rsidP="003B3457">
                            <w:pPr>
                              <w:pStyle w:val="ListParagraph"/>
                              <w:numPr>
                                <w:ilvl w:val="1"/>
                                <w:numId w:val="14"/>
                              </w:numPr>
                            </w:pPr>
                            <w:r w:rsidRPr="000F0908">
                              <w:t>Number of HARQ process [RAN1]</w:t>
                            </w:r>
                          </w:p>
                          <w:p w14:paraId="455696AC" w14:textId="77777777" w:rsidR="005E0B54" w:rsidRPr="000F0908" w:rsidRDefault="005E0B54" w:rsidP="003B3457">
                            <w:pPr>
                              <w:pStyle w:val="ListParagraph"/>
                              <w:numPr>
                                <w:ilvl w:val="1"/>
                                <w:numId w:val="14"/>
                              </w:numPr>
                            </w:pPr>
                            <w:r w:rsidRPr="000F0908">
                              <w:t>Enabling / disabling of HARQ feedback as described in the TR 38.821 [RAN1&amp;2]</w:t>
                            </w:r>
                          </w:p>
                          <w:p w14:paraId="4B72E367" w14:textId="77777777" w:rsidR="005E0B54" w:rsidRPr="000F0908" w:rsidRDefault="005E0B54" w:rsidP="003B3457"/>
                          <w:p w14:paraId="118AD624" w14:textId="77777777" w:rsidR="005E0B54" w:rsidRPr="000F0908" w:rsidRDefault="005E0B54" w:rsidP="003B3457"/>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" fillcolor="white [3201]" strokeweight=".5pt">
                <v:textbox>
                  <w:txbxContent>
                    <w:p w14:paraId="0A99ECC4" w14:textId="77777777" w:rsidR="005E0B54" w:rsidRPr="000F0908" w:rsidRDefault="005E0B54" w:rsidP="003B3457">
                      <w:pPr>
                        <w:pStyle w:val="ListParagraph"/>
                        <w:numPr>
                          <w:ilvl w:val="0"/>
                          <w:numId w:val="14"/>
                        </w:numPr>
                        <w:rPr>
                          <w:rFonts w:eastAsia="Times New Roman"/>
                        </w:rPr>
                      </w:pPr>
                      <w:r w:rsidRPr="000F0908">
                        <w:t>HARQ</w:t>
                      </w:r>
                    </w:p>
                    <w:p w14:paraId="4E1CE3A9" w14:textId="77777777" w:rsidR="005E0B54" w:rsidRPr="000F0908" w:rsidRDefault="005E0B54" w:rsidP="003B3457">
                      <w:pPr>
                        <w:pStyle w:val="ListParagraph"/>
                        <w:numPr>
                          <w:ilvl w:val="1"/>
                          <w:numId w:val="14"/>
                        </w:numPr>
                      </w:pPr>
                      <w:r w:rsidRPr="000F0908">
                        <w:t>Number of HARQ process [RAN1]</w:t>
                      </w:r>
                    </w:p>
                    <w:p w14:paraId="455696AC" w14:textId="77777777" w:rsidR="005E0B54" w:rsidRPr="000F0908" w:rsidRDefault="005E0B54" w:rsidP="003B3457">
                      <w:pPr>
                        <w:pStyle w:val="ListParagraph"/>
                        <w:numPr>
                          <w:ilvl w:val="1"/>
                          <w:numId w:val="14"/>
                        </w:numPr>
                      </w:pPr>
                      <w:r w:rsidRPr="000F0908">
                        <w:t>Enabling / disabling of HARQ feedback as described in the TR 38.821 [RAN1&amp;2]</w:t>
                      </w:r>
                    </w:p>
                    <w:p w14:paraId="4B72E367" w14:textId="77777777" w:rsidR="005E0B54" w:rsidRPr="000F0908" w:rsidRDefault="005E0B54" w:rsidP="003B3457"/>
                    <w:p w14:paraId="118AD624" w14:textId="77777777" w:rsidR="005E0B54" w:rsidRPr="000F0908" w:rsidRDefault="005E0B54" w:rsidP="003B3457"/>
                  </w:txbxContent>
                </v:textbox>
                <w10:anchorlock/>
              </v:shape>
            </w:pict>
          </mc:Fallback>
        </mc:AlternateContent>
      </w:r>
    </w:p>
    <w:p w14:paraId="35414B24" w14:textId="21ECEDEC" w:rsidR="007434CD" w:rsidRPr="007A1806" w:rsidRDefault="001F518A" w:rsidP="00A61576">
      <w:pPr>
        <w:pStyle w:val="Heading1"/>
        <w:rPr>
          <w:rFonts w:cs="Arial"/>
        </w:rPr>
      </w:pPr>
      <w:r w:rsidRPr="007A1806">
        <w:rPr>
          <w:rFonts w:cs="Arial"/>
        </w:rPr>
        <w:t xml:space="preserve">Parameter configuration for </w:t>
      </w:r>
      <w:r w:rsidR="00C46298" w:rsidRPr="007A1806">
        <w:rPr>
          <w:rFonts w:cs="Arial"/>
        </w:rPr>
        <w:t xml:space="preserve">feedback </w:t>
      </w:r>
      <w:r w:rsidRPr="007A1806">
        <w:rPr>
          <w:rFonts w:cs="Arial"/>
        </w:rPr>
        <w:t>enabled/disabled HARQ processes</w:t>
      </w:r>
    </w:p>
    <w:p w14:paraId="4AE3AD36" w14:textId="2CA328C2" w:rsidR="007C1F4F" w:rsidRPr="007A1806" w:rsidRDefault="007C1F4F" w:rsidP="003B3457">
      <w:r w:rsidRPr="007A1806">
        <w:t>At RAN1#102</w:t>
      </w:r>
      <w:r w:rsidR="002E4BA4" w:rsidRPr="007A1806">
        <w:t>-</w:t>
      </w:r>
      <w:r w:rsidRPr="007A1806">
        <w:t xml:space="preserve">e, the following agreement was made </w:t>
      </w:r>
      <w:r w:rsidR="003F25BE" w:rsidRPr="007A1806">
        <w:t>for enabling / disabling HARQ feedback for downlink transmission</w:t>
      </w:r>
      <w:r w:rsidRPr="007A1806">
        <w:t>.</w:t>
      </w:r>
    </w:p>
    <w:p w14:paraId="1B78E06A" w14:textId="2637A609" w:rsidR="007C1F4F" w:rsidRPr="007A1806" w:rsidRDefault="007C1F4F" w:rsidP="003B3457">
      <w:r w:rsidRPr="007A1806">
        <w:rPr>
          <w:noProof/>
        </w:rPr>
        <mc:AlternateContent>
          <mc:Choice Requires="wps">
            <w:drawing>
              <wp:inline distT="0" distB="0" distL="0" distR="0" wp14:anchorId="0745F649" wp14:editId="7008D518">
                <wp:extent cx="6120765" cy="1057275"/>
                <wp:effectExtent l="0" t="0" r="1333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7275"/>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5E0B54" w:rsidRPr="000F0908" w:rsidRDefault="005E0B54" w:rsidP="003B3457">
                            <w:r w:rsidRPr="000F0908">
                              <w:t>RAN1#102-e:</w:t>
                            </w:r>
                          </w:p>
                          <w:p w14:paraId="30A7BDF4" w14:textId="77777777" w:rsidR="005E0B54" w:rsidRPr="000F0908" w:rsidRDefault="005E0B54" w:rsidP="003B3457">
                            <w:r w:rsidRPr="000F0908">
                              <w:rPr>
                                <w:highlight w:val="green"/>
                              </w:rPr>
                              <w:t>Agreement:</w:t>
                            </w:r>
                          </w:p>
                          <w:p w14:paraId="78D9BC0F" w14:textId="77777777" w:rsidR="005E0B54" w:rsidRPr="000F0908" w:rsidRDefault="005E0B54" w:rsidP="003B3457">
                            <w:r w:rsidRPr="000F0908">
                              <w:t>Enabling/disabling on HARQ feedback for downlink transmission should be at least configurable per HARQ process via UE specific RRC signaling</w:t>
                            </w:r>
                          </w:p>
                          <w:p w14:paraId="16E91F90" w14:textId="77777777" w:rsidR="005E0B54" w:rsidRPr="000F0908" w:rsidRDefault="005E0B54" w:rsidP="003B3457"/>
                        </w:txbxContent>
                      </wps:txbx>
                      <wps:bodyPr rot="0" vert="horz" wrap="square" lIns="91440" tIns="45720" rIns="91440" bIns="45720" anchor="t" anchorCtr="0" upright="1">
                        <a:noAutofit/>
                      </wps:bodyPr>
                    </wps:wsp>
                  </a:graphicData>
                </a:graphic>
              </wp:inline>
            </w:drawing>
          </mc:Choice>
          <mc:Fallback>
            <w:pict>
              <v:shape w14:anchorId="0745F649" id="Text Box 6" o:spid="_x0000_s1027" type="#_x0000_t202" style="width:481.9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AuKRw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" fillcolor="white [3201]" strokeweight=".5pt">
                <v:textbox>
                  <w:txbxContent>
                    <w:p w14:paraId="7A191E2E" w14:textId="77777777" w:rsidR="005E0B54" w:rsidRPr="000F0908" w:rsidRDefault="005E0B54" w:rsidP="003B3457">
                      <w:r w:rsidRPr="000F0908">
                        <w:t>RAN1#102-e:</w:t>
                      </w:r>
                    </w:p>
                    <w:p w14:paraId="30A7BDF4" w14:textId="77777777" w:rsidR="005E0B54" w:rsidRPr="000F0908" w:rsidRDefault="005E0B54" w:rsidP="003B3457">
                      <w:r w:rsidRPr="000F0908">
                        <w:rPr>
                          <w:highlight w:val="green"/>
                        </w:rPr>
                        <w:t>Agreement:</w:t>
                      </w:r>
                    </w:p>
                    <w:p w14:paraId="78D9BC0F" w14:textId="77777777" w:rsidR="005E0B54" w:rsidRPr="000F0908" w:rsidRDefault="005E0B54" w:rsidP="003B3457">
                      <w:r w:rsidRPr="000F0908">
                        <w:t>Enabling/disabling on HARQ feedback for downlink transmission should be at least configurable per HARQ process via UE specific RRC signaling</w:t>
                      </w:r>
                    </w:p>
                    <w:p w14:paraId="16E91F90" w14:textId="77777777" w:rsidR="005E0B54" w:rsidRPr="000F0908" w:rsidRDefault="005E0B54" w:rsidP="003B3457"/>
                  </w:txbxContent>
                </v:textbox>
                <w10:anchorlock/>
              </v:shape>
            </w:pict>
          </mc:Fallback>
        </mc:AlternateContent>
      </w:r>
    </w:p>
    <w:p w14:paraId="13B1A535" w14:textId="3D474C43" w:rsidR="008F4465" w:rsidRPr="007A1806" w:rsidRDefault="00432D1E" w:rsidP="003B3457">
      <w:r w:rsidRPr="007A1806">
        <w:t>Given that enabling / disabling of HARQ feedback should be configurable per HARQ process,</w:t>
      </w:r>
      <w:r w:rsidR="00283D8E" w:rsidRPr="007A1806">
        <w:t xml:space="preserve"> it is pointed out in</w:t>
      </w:r>
      <w:r w:rsidRPr="007A1806">
        <w:t xml:space="preserve"> </w:t>
      </w:r>
      <w:r w:rsidR="00283D8E" w:rsidRPr="007A1806">
        <w:t xml:space="preserve">Section 7.2.1.4 in </w:t>
      </w:r>
      <w:r w:rsidRPr="007A1806">
        <w:t>TR 38.821</w:t>
      </w:r>
      <w:r w:rsidR="00283D8E" w:rsidRPr="007A1806">
        <w:t xml:space="preserve"> </w:t>
      </w:r>
      <w:r w:rsidR="00283D8E" w:rsidRPr="007A1806">
        <w:fldChar w:fldCharType="begin"/>
      </w:r>
      <w:r w:rsidR="00283D8E" w:rsidRPr="007A1806">
        <w:instrText xml:space="preserve"> REF _Ref46459196 \r \h </w:instrText>
      </w:r>
      <w:r w:rsidR="008F4465" w:rsidRPr="007A1806">
        <w:instrText xml:space="preserve"> \* MERGEFORMAT </w:instrText>
      </w:r>
      <w:r w:rsidR="00283D8E" w:rsidRPr="007A1806">
        <w:fldChar w:fldCharType="separate"/>
      </w:r>
      <w:r w:rsidR="00570DDB">
        <w:t>[6]</w:t>
      </w:r>
      <w:r w:rsidR="00283D8E" w:rsidRPr="007A1806">
        <w:fldChar w:fldCharType="end"/>
      </w:r>
      <w:r w:rsidRPr="007A1806">
        <w:t xml:space="preserve"> that </w:t>
      </w:r>
      <w:r w:rsidR="00283D8E" w:rsidRPr="007A1806">
        <w:t>“</w:t>
      </w:r>
      <w:r w:rsidRPr="007A1806">
        <w:rPr>
          <w:i/>
          <w:iCs/>
        </w:rPr>
        <w:t>If the feedback is disabled for a selective number (i.e. not all) of HARQ processes, the configuration parameters for different HARQ processes may need to be different.</w:t>
      </w:r>
      <w:r w:rsidRPr="007A1806">
        <w:t xml:space="preserve">” </w:t>
      </w:r>
    </w:p>
    <w:p w14:paraId="5DED3E27" w14:textId="6ED73367" w:rsidR="00432D1E" w:rsidRPr="007A1806" w:rsidRDefault="008F4465" w:rsidP="003B3457">
      <w:r w:rsidRPr="007A1806">
        <w:t xml:space="preserve">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w:t>
      </w:r>
      <w:r w:rsidRPr="007A1806">
        <w:lastRenderedPageBreak/>
        <w:t>some HARQ processes but not for the others, it is not desirable to apply the same configuration. For example, for a HARQ process with feedback enabled, aggregation factor may not be needed, while for a HARQ process with feedback disabled, aggregation factor may be needed.</w:t>
      </w:r>
    </w:p>
    <w:p w14:paraId="13AA0E43" w14:textId="10CD9A61" w:rsidR="00432D1E" w:rsidRPr="007A1806" w:rsidRDefault="00432D1E" w:rsidP="003B3457">
      <w:pPr>
        <w:pStyle w:val="Proposal"/>
      </w:pPr>
      <w:bookmarkStart w:id="0" w:name="_Toc87031487"/>
      <w:r w:rsidRPr="007A1806">
        <w:t>RAN1 to discuss what parameters need to be configured differently for HARQ processes with feedback and HARQ processes without feedback.</w:t>
      </w:r>
      <w:r w:rsidR="008F4465" w:rsidRPr="007A1806">
        <w:t xml:space="preserve"> </w:t>
      </w:r>
      <w:r w:rsidR="00430FB1" w:rsidRPr="007A1806">
        <w:t>One e</w:t>
      </w:r>
      <w:r w:rsidR="008F4465" w:rsidRPr="007A1806">
        <w:t xml:space="preserve">xample parameter </w:t>
      </w:r>
      <w:r w:rsidR="00430FB1" w:rsidRPr="007A1806">
        <w:t>is</w:t>
      </w:r>
      <w:r w:rsidR="008F4465" w:rsidRPr="007A1806">
        <w:t xml:space="preserve"> aggregation factor.</w:t>
      </w:r>
      <w:bookmarkEnd w:id="0"/>
    </w:p>
    <w:p w14:paraId="58589CB7" w14:textId="6A901DED" w:rsidR="00E360F5" w:rsidRPr="007A1806" w:rsidRDefault="00283D8E" w:rsidP="00A61576">
      <w:pPr>
        <w:pStyle w:val="Heading1"/>
        <w:rPr>
          <w:rFonts w:cs="Arial"/>
        </w:rPr>
      </w:pPr>
      <w:r w:rsidRPr="007A1806">
        <w:rPr>
          <w:rFonts w:cs="Arial"/>
        </w:rPr>
        <w:t>HARQ codebook for enabled/disabled HARQ</w:t>
      </w:r>
    </w:p>
    <w:p w14:paraId="09E0B6C5" w14:textId="32BF7347" w:rsidR="0084577D" w:rsidRPr="007A1806" w:rsidRDefault="00283D8E" w:rsidP="003B3457">
      <w:r w:rsidRPr="007A1806">
        <w:t>With the UE being configured with both feedback disabled HARQ processes and feedback enabled HARQ processes, UE procedures on how to determine the entries in the HARQ codebooks need to be defined. For instance, a UE may receive PDSCHs associated with either a feedback disabled HARQ process or a feedback enabled HARQ process.</w:t>
      </w:r>
      <w:r w:rsidR="00486076" w:rsidRPr="007A1806">
        <w:t xml:space="preserve"> </w:t>
      </w:r>
    </w:p>
    <w:p w14:paraId="6033B516" w14:textId="79C6C9E7" w:rsidR="006145F1" w:rsidRDefault="006145F1" w:rsidP="000642B1">
      <w:pPr>
        <w:pStyle w:val="Heading2"/>
        <w:rPr>
          <w:rFonts w:cs="Arial"/>
        </w:rPr>
      </w:pPr>
      <w:r w:rsidRPr="007A1806">
        <w:rPr>
          <w:rFonts w:cs="Arial"/>
        </w:rPr>
        <w:t>Type-1 HARQ codebook</w:t>
      </w:r>
    </w:p>
    <w:p w14:paraId="5975F5E1" w14:textId="38A65FCF" w:rsidR="00943296" w:rsidRDefault="00943296" w:rsidP="00943296">
      <w:pPr>
        <w:pStyle w:val="Heading3"/>
      </w:pPr>
      <w:r>
        <w:t>Only DCI carrying feedback-disabled processes detected</w:t>
      </w:r>
    </w:p>
    <w:p w14:paraId="3F08E28B" w14:textId="7FDB47D0" w:rsidR="00283CBB" w:rsidRPr="007A1806" w:rsidRDefault="00283CBB" w:rsidP="003B3457">
      <w:pPr>
        <w:pStyle w:val="BodyText"/>
      </w:pPr>
      <w:r w:rsidRPr="007A1806">
        <w:t>At RAN1#10</w:t>
      </w:r>
      <w:r>
        <w:t>6</w:t>
      </w:r>
      <w:r w:rsidRPr="007A1806">
        <w:t xml:space="preserve">-e, the following agreement </w:t>
      </w:r>
      <w:r w:rsidR="00943296">
        <w:t xml:space="preserve">was </w:t>
      </w:r>
      <w:r w:rsidRPr="007A1806">
        <w:t>made:</w:t>
      </w:r>
    </w:p>
    <w:p w14:paraId="740405F6" w14:textId="2B7A3F14" w:rsidR="00283CBB" w:rsidRPr="00283CBB" w:rsidRDefault="00283CBB" w:rsidP="003B3457">
      <w:r w:rsidRPr="007A1806">
        <w:rPr>
          <w:noProof/>
        </w:rPr>
        <mc:AlternateContent>
          <mc:Choice Requires="wps">
            <w:drawing>
              <wp:inline distT="0" distB="0" distL="0" distR="0" wp14:anchorId="0BD2BEF5" wp14:editId="7BECEF0A">
                <wp:extent cx="6120765" cy="1651000"/>
                <wp:effectExtent l="0" t="0" r="1333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51000"/>
                        </a:xfrm>
                        <a:prstGeom prst="rect">
                          <a:avLst/>
                        </a:prstGeom>
                        <a:solidFill>
                          <a:schemeClr val="lt1">
                            <a:lumMod val="100000"/>
                            <a:lumOff val="0"/>
                          </a:schemeClr>
                        </a:solidFill>
                        <a:ln w="6350">
                          <a:solidFill>
                            <a:srgbClr val="000000"/>
                          </a:solidFill>
                          <a:miter lim="800000"/>
                          <a:headEnd/>
                          <a:tailEnd/>
                        </a:ln>
                      </wps:spPr>
                      <wps:txbx>
                        <w:txbxContent>
                          <w:p w14:paraId="5965A56D" w14:textId="3895C212" w:rsidR="00283CBB" w:rsidRDefault="00283CBB" w:rsidP="003B3457">
                            <w:r w:rsidRPr="000F0908">
                              <w:rPr>
                                <w:highlight w:val="green"/>
                              </w:rPr>
                              <w:t>Agreement:</w:t>
                            </w:r>
                          </w:p>
                          <w:p w14:paraId="28CA68CC" w14:textId="77777777" w:rsidR="00283CBB" w:rsidRDefault="00283CBB" w:rsidP="003B3457">
                            <w:r w:rsidRPr="00283CBB">
                              <w:t>For Type-1 HARQ codebook, if only DCI carrying feedback-disabled HARQ process is detected by UE, one of following options should be supported:</w:t>
                            </w:r>
                          </w:p>
                          <w:p w14:paraId="2333F27A" w14:textId="77777777" w:rsidR="00283CBB" w:rsidRDefault="00283CBB" w:rsidP="003B3457">
                            <w:pPr>
                              <w:pStyle w:val="ListParagraph"/>
                              <w:numPr>
                                <w:ilvl w:val="0"/>
                                <w:numId w:val="18"/>
                              </w:numPr>
                            </w:pPr>
                            <w:r w:rsidRPr="00283CBB">
                              <w:t>Option-1: The UE’s behavior is same as the case if DCIs carrying the feedback-disabled and feedback-enabled HARQ processes are detected by UE</w:t>
                            </w:r>
                          </w:p>
                          <w:p w14:paraId="235B2867" w14:textId="77777777" w:rsidR="00283CBB" w:rsidRDefault="00283CBB" w:rsidP="003B3457">
                            <w:pPr>
                              <w:pStyle w:val="ListParagraph"/>
                              <w:numPr>
                                <w:ilvl w:val="0"/>
                                <w:numId w:val="18"/>
                              </w:numPr>
                            </w:pPr>
                            <w:r w:rsidRPr="00283CBB">
                              <w:t>Option-2: The UE should skip the codebook feedback at least when the feedback is carried by PUCCH</w:t>
                            </w:r>
                          </w:p>
                          <w:p w14:paraId="216EAAF2" w14:textId="0A3B633F" w:rsidR="00283CBB" w:rsidRPr="00283CBB" w:rsidRDefault="00283CBB" w:rsidP="003B3457">
                            <w:pPr>
                              <w:pStyle w:val="ListParagraph"/>
                              <w:numPr>
                                <w:ilvl w:val="1"/>
                                <w:numId w:val="18"/>
                              </w:numPr>
                            </w:pPr>
                            <w:r w:rsidRPr="00283CBB">
                              <w:t>FFS: the case that feedback is carried by PUSCH.</w:t>
                            </w:r>
                          </w:p>
                        </w:txbxContent>
                      </wps:txbx>
                      <wps:bodyPr rot="0" vert="horz" wrap="square" lIns="91440" tIns="45720" rIns="91440" bIns="45720" anchor="t" anchorCtr="0" upright="1">
                        <a:noAutofit/>
                      </wps:bodyPr>
                    </wps:wsp>
                  </a:graphicData>
                </a:graphic>
              </wp:inline>
            </w:drawing>
          </mc:Choice>
          <mc:Fallback>
            <w:pict>
              <v:shape w14:anchorId="0BD2BEF5" id="Text Box 8" o:spid="_x0000_s1028" type="#_x0000_t202" style="width:481.95pt;height:1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" fillcolor="white [3201]" strokeweight=".5pt">
                <v:textbox>
                  <w:txbxContent>
                    <w:p w14:paraId="5965A56D" w14:textId="3895C212" w:rsidR="00283CBB" w:rsidRDefault="00283CBB" w:rsidP="003B3457">
                      <w:r w:rsidRPr="000F0908">
                        <w:rPr>
                          <w:highlight w:val="green"/>
                        </w:rPr>
                        <w:t>Agreement:</w:t>
                      </w:r>
                    </w:p>
                    <w:p w14:paraId="28CA68CC" w14:textId="77777777" w:rsidR="00283CBB" w:rsidRDefault="00283CBB" w:rsidP="003B3457">
                      <w:r w:rsidRPr="00283CBB">
                        <w:t>For Type-1 HARQ codebook, if only DCI carrying feedback-disabled HARQ process is detected by UE, one of following options should be supported:</w:t>
                      </w:r>
                    </w:p>
                    <w:p w14:paraId="2333F27A" w14:textId="77777777" w:rsidR="00283CBB" w:rsidRDefault="00283CBB" w:rsidP="003B3457">
                      <w:pPr>
                        <w:pStyle w:val="ListParagraph"/>
                        <w:numPr>
                          <w:ilvl w:val="0"/>
                          <w:numId w:val="18"/>
                        </w:numPr>
                      </w:pPr>
                      <w:r w:rsidRPr="00283CBB">
                        <w:t>Option-1: The UE’s behavior is same as the case if DCIs carrying the feedback-disabled and feedback-enabled HARQ processes are detected by UE</w:t>
                      </w:r>
                    </w:p>
                    <w:p w14:paraId="235B2867" w14:textId="77777777" w:rsidR="00283CBB" w:rsidRDefault="00283CBB" w:rsidP="003B3457">
                      <w:pPr>
                        <w:pStyle w:val="ListParagraph"/>
                        <w:numPr>
                          <w:ilvl w:val="0"/>
                          <w:numId w:val="18"/>
                        </w:numPr>
                      </w:pPr>
                      <w:r w:rsidRPr="00283CBB">
                        <w:t>Option-2: The UE should skip the codebook feedback at least when the feedback is carried by PUCCH</w:t>
                      </w:r>
                    </w:p>
                    <w:p w14:paraId="216EAAF2" w14:textId="0A3B633F" w:rsidR="00283CBB" w:rsidRPr="00283CBB" w:rsidRDefault="00283CBB" w:rsidP="003B3457">
                      <w:pPr>
                        <w:pStyle w:val="ListParagraph"/>
                        <w:numPr>
                          <w:ilvl w:val="1"/>
                          <w:numId w:val="18"/>
                        </w:numPr>
                      </w:pPr>
                      <w:r w:rsidRPr="00283CBB">
                        <w:t>FFS: the case that feedback is carried by PUSCH.</w:t>
                      </w:r>
                    </w:p>
                  </w:txbxContent>
                </v:textbox>
                <w10:anchorlock/>
              </v:shape>
            </w:pict>
          </mc:Fallback>
        </mc:AlternateContent>
      </w:r>
    </w:p>
    <w:p w14:paraId="39328C41" w14:textId="47B17C36" w:rsidR="007648A7" w:rsidRPr="007A1806" w:rsidRDefault="007648A7" w:rsidP="003B3457">
      <w:r w:rsidRPr="007A1806">
        <w:t xml:space="preserve">If no </w:t>
      </w:r>
      <w:r w:rsidR="000D65B9" w:rsidRPr="007A1806">
        <w:t xml:space="preserve">DCI scheduling a </w:t>
      </w:r>
      <w:r w:rsidRPr="007A1806">
        <w:t xml:space="preserve">feedback-enabled </w:t>
      </w:r>
      <w:r w:rsidR="00D922AF" w:rsidRPr="007A1806">
        <w:t xml:space="preserve">DL </w:t>
      </w:r>
      <w:r w:rsidRPr="007A1806">
        <w:t xml:space="preserve">HARQ process has been received in any of the slots associated with a </w:t>
      </w:r>
      <w:r w:rsidR="00463D61" w:rsidRPr="007A1806">
        <w:t xml:space="preserve">Type-1 </w:t>
      </w:r>
      <w:r w:rsidRPr="007A1806">
        <w:t xml:space="preserve">HARQ codebook, </w:t>
      </w:r>
      <w:r w:rsidR="00305EDF" w:rsidRPr="007A1806">
        <w:t xml:space="preserve">the UE </w:t>
      </w:r>
      <w:r w:rsidR="00943296">
        <w:t xml:space="preserve">can </w:t>
      </w:r>
      <w:r w:rsidR="00305EDF" w:rsidRPr="007A1806">
        <w:t xml:space="preserve">omit sending the </w:t>
      </w:r>
      <w:r w:rsidRPr="007A1806">
        <w:t>HARQ-ACK feedback</w:t>
      </w:r>
      <w:r w:rsidR="00FC33F8" w:rsidRPr="007A1806">
        <w:t xml:space="preserve"> to</w:t>
      </w:r>
      <w:r w:rsidR="00305EDF" w:rsidRPr="007A1806">
        <w:t xml:space="preserve"> reduce UL interference and </w:t>
      </w:r>
      <w:r w:rsidR="00FC33F8" w:rsidRPr="007A1806">
        <w:t xml:space="preserve">UE battery consumption. Note that this may </w:t>
      </w:r>
      <w:r w:rsidR="00523E86" w:rsidRPr="007A1806">
        <w:t xml:space="preserve">be </w:t>
      </w:r>
      <w:r w:rsidR="00FC33F8" w:rsidRPr="007A1806">
        <w:t>a common scenario in case HARQ feedback is disabled for most HARQ processes.</w:t>
      </w:r>
    </w:p>
    <w:p w14:paraId="0E9B807D" w14:textId="7EF6F8BB" w:rsidR="007648A7" w:rsidRDefault="00FC33F8" w:rsidP="003B3457">
      <w:r w:rsidRPr="007A1806">
        <w:t>I</w:t>
      </w:r>
      <w:r w:rsidR="007648A7" w:rsidRPr="007A1806">
        <w:t xml:space="preserve">f </w:t>
      </w:r>
      <w:r w:rsidRPr="007A1806">
        <w:t xml:space="preserve">DCI scheduling </w:t>
      </w:r>
      <w:r w:rsidR="007648A7" w:rsidRPr="007A1806">
        <w:t xml:space="preserve">feedback-enabled </w:t>
      </w:r>
      <w:r w:rsidR="00D922AF" w:rsidRPr="007A1806">
        <w:t xml:space="preserve">DL </w:t>
      </w:r>
      <w:r w:rsidR="007648A7" w:rsidRPr="007A1806">
        <w:t xml:space="preserve">HARQ processes </w:t>
      </w:r>
      <w:r w:rsidRPr="007A1806">
        <w:t>is</w:t>
      </w:r>
      <w:r w:rsidR="007648A7" w:rsidRPr="007A1806">
        <w:t xml:space="preserve"> </w:t>
      </w:r>
      <w:r w:rsidRPr="007A1806">
        <w:t>transmitted</w:t>
      </w:r>
      <w:r w:rsidR="007648A7" w:rsidRPr="007A1806">
        <w:t xml:space="preserve"> but the UE fails to decode </w:t>
      </w:r>
      <w:r w:rsidR="00523E86" w:rsidRPr="007A1806">
        <w:t xml:space="preserve">it </w:t>
      </w:r>
      <w:r w:rsidRPr="007A1806">
        <w:t xml:space="preserve">for all slots associated with a </w:t>
      </w:r>
      <w:r w:rsidR="00F25E41" w:rsidRPr="007A1806">
        <w:t>Type-1</w:t>
      </w:r>
      <w:r w:rsidRPr="007A1806">
        <w:t xml:space="preserve"> HARQ codebook</w:t>
      </w:r>
      <w:r w:rsidR="007648A7" w:rsidRPr="007A1806">
        <w:t>, no HARQ feedback will be sent</w:t>
      </w:r>
      <w:r w:rsidRPr="007A1806">
        <w:t xml:space="preserve"> by the UE</w:t>
      </w:r>
      <w:r w:rsidR="00D922AF" w:rsidRPr="007A1806">
        <w:t>, even though the network expects HARQ feedback</w:t>
      </w:r>
      <w:r w:rsidR="007648A7" w:rsidRPr="007A1806">
        <w:t>. The network will then know from the absense of HARQ feedback that DCI reception (and therefore also PDSCH reception) failed for all HARQ processes with feedback enabled and can interpret that as implicit NACK</w:t>
      </w:r>
      <w:r w:rsidR="00523E86" w:rsidRPr="007A1806">
        <w:t xml:space="preserve"> for these HARQ processes</w:t>
      </w:r>
      <w:r w:rsidR="007648A7" w:rsidRPr="007A1806">
        <w:t>.</w:t>
      </w:r>
    </w:p>
    <w:p w14:paraId="554A5453" w14:textId="78F0EF27" w:rsidR="00FC33F8" w:rsidRPr="009206CA" w:rsidRDefault="00523E86" w:rsidP="003B3457">
      <w:pPr>
        <w:pStyle w:val="Proposal"/>
      </w:pPr>
      <w:bookmarkStart w:id="1" w:name="_Toc87031488"/>
      <w:r w:rsidRPr="009206CA">
        <w:t>In case of Type-1 HARQ codebook, w</w:t>
      </w:r>
      <w:r w:rsidR="00FC33F8" w:rsidRPr="009206CA">
        <w:t xml:space="preserve">hen </w:t>
      </w:r>
      <w:r w:rsidRPr="009206CA">
        <w:t xml:space="preserve">the UE has not decoded DCI for a </w:t>
      </w:r>
      <w:r w:rsidR="00FC33F8" w:rsidRPr="009206CA">
        <w:t xml:space="preserve">feedback-enabled HARQ process in any slot associated with </w:t>
      </w:r>
      <w:r w:rsidR="00F25E41" w:rsidRPr="009206CA">
        <w:t>the</w:t>
      </w:r>
      <w:r w:rsidR="00FC33F8" w:rsidRPr="009206CA">
        <w:t xml:space="preserve"> HARQ codebook, the UE omits sending the HARQ-ACK feedback </w:t>
      </w:r>
      <w:r w:rsidR="00F84E88">
        <w:t>when it is not multiplexed with other feedback in the same UCI</w:t>
      </w:r>
      <w:r w:rsidR="00FC33F8" w:rsidRPr="009206CA">
        <w:t>.</w:t>
      </w:r>
      <w:bookmarkEnd w:id="1"/>
    </w:p>
    <w:p w14:paraId="135717D5" w14:textId="2ED89E3C" w:rsidR="00B375F6" w:rsidRDefault="00B375F6" w:rsidP="003B3457">
      <w:pPr>
        <w:pStyle w:val="Observation"/>
      </w:pPr>
      <w:bookmarkStart w:id="2" w:name="_Toc87031479"/>
      <w:r w:rsidRPr="007A1806">
        <w:t>If DCI scheduling feedback-enabled DL HARQ processes is transmitted but</w:t>
      </w:r>
      <w:r w:rsidR="008C4386" w:rsidRPr="007A1806">
        <w:t xml:space="preserve"> no Type-1 HARQ codebook is </w:t>
      </w:r>
      <w:r w:rsidR="00545F41" w:rsidRPr="007A1806">
        <w:t>transmitted by the UE</w:t>
      </w:r>
      <w:r w:rsidR="008C4386" w:rsidRPr="007A1806">
        <w:t>, the network can interpret that as implicit NACK for the feedback-enabled HARQ processes.</w:t>
      </w:r>
      <w:bookmarkEnd w:id="2"/>
    </w:p>
    <w:p w14:paraId="473B3BB0" w14:textId="4482FC5A" w:rsidR="00943296" w:rsidRDefault="00943296" w:rsidP="00943296">
      <w:pPr>
        <w:pStyle w:val="Heading3"/>
      </w:pPr>
      <w:r>
        <w:t xml:space="preserve">DCI carrying feedback-disabled and </w:t>
      </w:r>
      <w:r w:rsidR="00DA369F">
        <w:t>en</w:t>
      </w:r>
      <w:r>
        <w:t>abled processes detected</w:t>
      </w:r>
    </w:p>
    <w:p w14:paraId="0DB6AB66" w14:textId="77777777" w:rsidR="00943296" w:rsidRPr="007A1806" w:rsidRDefault="00943296" w:rsidP="003B3457">
      <w:pPr>
        <w:pStyle w:val="BodyText"/>
      </w:pPr>
      <w:r w:rsidRPr="007A1806">
        <w:t>At RAN1#10</w:t>
      </w:r>
      <w:r>
        <w:t>6</w:t>
      </w:r>
      <w:r w:rsidRPr="007A1806">
        <w:t xml:space="preserve">-e, the following agreement </w:t>
      </w:r>
      <w:r>
        <w:t xml:space="preserve">was </w:t>
      </w:r>
      <w:r w:rsidRPr="007A1806">
        <w:t>made:</w:t>
      </w:r>
    </w:p>
    <w:p w14:paraId="3F085654" w14:textId="03EAE12B" w:rsidR="00943296" w:rsidRDefault="00943296" w:rsidP="003B3457">
      <w:r w:rsidRPr="007A1806">
        <w:rPr>
          <w:noProof/>
        </w:rPr>
        <mc:AlternateContent>
          <mc:Choice Requires="wps">
            <w:drawing>
              <wp:inline distT="0" distB="0" distL="0" distR="0" wp14:anchorId="4ABE06EA" wp14:editId="272597DC">
                <wp:extent cx="6120765" cy="1816100"/>
                <wp:effectExtent l="0" t="0" r="13335" b="127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16100"/>
                        </a:xfrm>
                        <a:prstGeom prst="rect">
                          <a:avLst/>
                        </a:prstGeom>
                        <a:solidFill>
                          <a:schemeClr val="lt1">
                            <a:lumMod val="100000"/>
                            <a:lumOff val="0"/>
                          </a:schemeClr>
                        </a:solidFill>
                        <a:ln w="6350">
                          <a:solidFill>
                            <a:srgbClr val="000000"/>
                          </a:solidFill>
                          <a:miter lim="800000"/>
                          <a:headEnd/>
                          <a:tailEnd/>
                        </a:ln>
                      </wps:spPr>
                      <wps:txbx>
                        <w:txbxContent>
                          <w:p w14:paraId="2082E7F6" w14:textId="77777777" w:rsidR="00943296" w:rsidRPr="00283CBB" w:rsidRDefault="00943296" w:rsidP="003B3457">
                            <w:r w:rsidRPr="00283CBB">
                              <w:rPr>
                                <w:highlight w:val="green"/>
                              </w:rPr>
                              <w:t>Agreement:</w:t>
                            </w:r>
                          </w:p>
                          <w:p w14:paraId="59099192" w14:textId="77777777" w:rsidR="00943296" w:rsidRPr="00283CBB" w:rsidRDefault="00943296" w:rsidP="003B3457">
                            <w:r w:rsidRPr="00283CBB">
                              <w:t>For Type-1 HARQ codebook, if DCIs carrying the feedback-disabled and feedback-enabled HARQ processes are detected by UE, one of following options should be supported:</w:t>
                            </w:r>
                          </w:p>
                          <w:p w14:paraId="5F2279A2" w14:textId="77777777" w:rsidR="00943296" w:rsidRPr="00283CBB" w:rsidRDefault="00943296" w:rsidP="003B3457">
                            <w:pPr>
                              <w:pStyle w:val="ListParagraph"/>
                              <w:numPr>
                                <w:ilvl w:val="0"/>
                                <w:numId w:val="19"/>
                              </w:numPr>
                            </w:pPr>
                            <w:r w:rsidRPr="00283CBB">
                              <w:t>Option-1: The UE will report NACK only for the feedback-disabled HARQ process regardless of decoding results of corresponding PDSCH</w:t>
                            </w:r>
                          </w:p>
                          <w:p w14:paraId="48A135C2" w14:textId="77777777" w:rsidR="00943296" w:rsidRDefault="00943296" w:rsidP="003B3457">
                            <w:pPr>
                              <w:pStyle w:val="ListParagraph"/>
                              <w:numPr>
                                <w:ilvl w:val="0"/>
                                <w:numId w:val="19"/>
                              </w:numPr>
                            </w:pPr>
                            <w:r w:rsidRPr="00283CBB">
                              <w:t>Option-2: The UE will report NACK/ACK for the feedback-disabled HARQ process depending on the decoding results of corresponding PDSCH</w:t>
                            </w:r>
                          </w:p>
                          <w:p w14:paraId="6B98419E" w14:textId="77777777" w:rsidR="00943296" w:rsidRPr="00283CBB" w:rsidRDefault="00943296" w:rsidP="003B3457">
                            <w:pPr>
                              <w:pStyle w:val="ListParagraph"/>
                              <w:numPr>
                                <w:ilvl w:val="0"/>
                                <w:numId w:val="19"/>
                              </w:numPr>
                            </w:pPr>
                            <w:r w:rsidRPr="00283CBB">
                              <w:t>FFS: Other cases, e.g., if only DCI carrying feedback-disabled HARQ process is detected by UE</w:t>
                            </w:r>
                          </w:p>
                        </w:txbxContent>
                      </wps:txbx>
                      <wps:bodyPr rot="0" vert="horz" wrap="square" lIns="91440" tIns="45720" rIns="91440" bIns="45720" anchor="t" anchorCtr="0" upright="1">
                        <a:noAutofit/>
                      </wps:bodyPr>
                    </wps:wsp>
                  </a:graphicData>
                </a:graphic>
              </wp:inline>
            </w:drawing>
          </mc:Choice>
          <mc:Fallback>
            <w:pict>
              <v:shape w14:anchorId="4ABE06EA" id="Text Box 9" o:spid="_x0000_s1029" type="#_x0000_t202" style="width:481.9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" fillcolor="white [3201]" strokeweight=".5pt">
                <v:textbox>
                  <w:txbxContent>
                    <w:p w14:paraId="2082E7F6" w14:textId="77777777" w:rsidR="00943296" w:rsidRPr="00283CBB" w:rsidRDefault="00943296" w:rsidP="003B3457">
                      <w:r w:rsidRPr="00283CBB">
                        <w:rPr>
                          <w:highlight w:val="green"/>
                        </w:rPr>
                        <w:t>Agreement:</w:t>
                      </w:r>
                    </w:p>
                    <w:p w14:paraId="59099192" w14:textId="77777777" w:rsidR="00943296" w:rsidRPr="00283CBB" w:rsidRDefault="00943296" w:rsidP="003B3457">
                      <w:r w:rsidRPr="00283CBB">
                        <w:t>For Type-1 HARQ codebook, if DCIs carrying the feedback-disabled and feedback-enabled HARQ processes are detected by UE, one of following options should be supported:</w:t>
                      </w:r>
                    </w:p>
                    <w:p w14:paraId="5F2279A2" w14:textId="77777777" w:rsidR="00943296" w:rsidRPr="00283CBB" w:rsidRDefault="00943296" w:rsidP="003B3457">
                      <w:pPr>
                        <w:pStyle w:val="ListParagraph"/>
                        <w:numPr>
                          <w:ilvl w:val="0"/>
                          <w:numId w:val="19"/>
                        </w:numPr>
                      </w:pPr>
                      <w:r w:rsidRPr="00283CBB">
                        <w:t>Option-1: The UE will report NACK only for the feedback-disabled HARQ process regardless of decoding results of corresponding PDSCH</w:t>
                      </w:r>
                    </w:p>
                    <w:p w14:paraId="48A135C2" w14:textId="77777777" w:rsidR="00943296" w:rsidRDefault="00943296" w:rsidP="003B3457">
                      <w:pPr>
                        <w:pStyle w:val="ListParagraph"/>
                        <w:numPr>
                          <w:ilvl w:val="0"/>
                          <w:numId w:val="19"/>
                        </w:numPr>
                      </w:pPr>
                      <w:r w:rsidRPr="00283CBB">
                        <w:t>Option-2: The UE will report NACK/ACK for the feedback-disabled HARQ process depending on the decoding results of corresponding PDSCH</w:t>
                      </w:r>
                    </w:p>
                    <w:p w14:paraId="6B98419E" w14:textId="77777777" w:rsidR="00943296" w:rsidRPr="00283CBB" w:rsidRDefault="00943296" w:rsidP="003B3457">
                      <w:pPr>
                        <w:pStyle w:val="ListParagraph"/>
                        <w:numPr>
                          <w:ilvl w:val="0"/>
                          <w:numId w:val="19"/>
                        </w:numPr>
                      </w:pPr>
                      <w:r w:rsidRPr="00283CBB">
                        <w:t>FFS: Other cases, e.g., if only DCI carrying feedback-disabled HARQ process is detected by UE</w:t>
                      </w:r>
                    </w:p>
                  </w:txbxContent>
                </v:textbox>
                <w10:anchorlock/>
              </v:shape>
            </w:pict>
          </mc:Fallback>
        </mc:AlternateContent>
      </w:r>
    </w:p>
    <w:p w14:paraId="7AE9B61A" w14:textId="5ADA3EBA" w:rsidR="00A15FFF" w:rsidRDefault="00A15FFF" w:rsidP="003B3457">
      <w:r>
        <w:t>O</w:t>
      </w:r>
      <w:r w:rsidR="00943296" w:rsidRPr="007A1806">
        <w:t>ne approach is to insert NACKs in the positions corresponding to PDSCHs associated with feedback disabled HARQ processes. Another approach is to insert ACK or NACK also in the positions corresponding to feedback-disabled processes, depending on the decoding outcome. While this feedback is not used to trigger HARQ retransmissions from the network, it may still be useful for other purposes such as BLER-based link adaptation</w:t>
      </w:r>
      <w:r w:rsidR="00E47306">
        <w:t xml:space="preserve"> for feedback-disabled HARQ processes.</w:t>
      </w:r>
    </w:p>
    <w:p w14:paraId="565C809A" w14:textId="52328131" w:rsidR="00E47306" w:rsidRPr="00FF6270" w:rsidRDefault="00943296" w:rsidP="003B3457">
      <w:pPr>
        <w:pStyle w:val="Proposal"/>
      </w:pPr>
      <w:bookmarkStart w:id="3" w:name="_Toc87031489"/>
      <w:r w:rsidRPr="007A1806">
        <w:t xml:space="preserve">In case of Type-1 HARQ codebook, when </w:t>
      </w:r>
      <w:r w:rsidR="00BB1C1C" w:rsidRPr="009206CA">
        <w:t xml:space="preserve">the UE has decoded DCI for </w:t>
      </w:r>
      <w:r w:rsidR="00BB1C1C">
        <w:t xml:space="preserve">both </w:t>
      </w:r>
      <w:r w:rsidR="00BB1C1C" w:rsidRPr="009206CA">
        <w:t xml:space="preserve">feedback-enabled </w:t>
      </w:r>
      <w:r w:rsidR="00BB1C1C">
        <w:t xml:space="preserve">and feedback-disabled </w:t>
      </w:r>
      <w:r w:rsidR="00BB1C1C" w:rsidRPr="009206CA">
        <w:t>HARQ process in slot</w:t>
      </w:r>
      <w:r w:rsidR="00BB1C1C">
        <w:t>s</w:t>
      </w:r>
      <w:r w:rsidR="00BB1C1C" w:rsidRPr="009206CA">
        <w:t xml:space="preserve"> associated with the </w:t>
      </w:r>
      <w:r w:rsidR="00BB1C1C">
        <w:t xml:space="preserve">same </w:t>
      </w:r>
      <w:r w:rsidR="00BB1C1C" w:rsidRPr="009206CA">
        <w:t>HARQ codebook</w:t>
      </w:r>
      <w:r w:rsidR="00BB1C1C" w:rsidRPr="007A1806" w:rsidDel="00BB1C1C">
        <w:t xml:space="preserve"> </w:t>
      </w:r>
      <w:r w:rsidRPr="007A1806">
        <w:t>, RAN1 to downselect among the following:</w:t>
      </w:r>
      <w:r w:rsidRPr="007A1806">
        <w:br/>
        <w:t>1) the UE inserts NACK in positions corresponding to PDSCHs associated with feedback disabled HARQ processes.</w:t>
      </w:r>
      <w:r w:rsidRPr="007A1806">
        <w:br/>
        <w:t>2) the UE inserts ACK or NACK in positions corresponding to PDSCHs associated with feedback disabled HARQ processes, depending on the decoding outcome.</w:t>
      </w:r>
      <w:bookmarkEnd w:id="3"/>
    </w:p>
    <w:p w14:paraId="20994FED" w14:textId="0AD3DD65" w:rsidR="006145F1" w:rsidRDefault="006145F1" w:rsidP="000642B1">
      <w:pPr>
        <w:pStyle w:val="Heading2"/>
        <w:rPr>
          <w:rFonts w:cs="Arial"/>
        </w:rPr>
      </w:pPr>
      <w:r w:rsidRPr="007A1806">
        <w:rPr>
          <w:rFonts w:cs="Arial"/>
        </w:rPr>
        <w:t>Type-2 HARQ codebook</w:t>
      </w:r>
    </w:p>
    <w:p w14:paraId="66F86F41" w14:textId="77777777" w:rsidR="006768A3" w:rsidRPr="007A1806" w:rsidRDefault="00325EBC" w:rsidP="003B3457">
      <w:pPr>
        <w:pStyle w:val="BodyText"/>
      </w:pPr>
      <w:r w:rsidRPr="007A1806">
        <w:t>At RAN1#104-e it was agreed to reduce the Type-2 HARQ codebook size by only including HARQ-ACK of PDSCH with feedback-enabled HARQ processes.</w:t>
      </w:r>
      <w:r w:rsidR="002E4BA4" w:rsidRPr="007A1806">
        <w:t xml:space="preserve"> </w:t>
      </w:r>
      <w:r w:rsidR="00545F41" w:rsidRPr="007A1806">
        <w:t xml:space="preserve">At RAN1#105-e, it was agreed that </w:t>
      </w:r>
      <w:r w:rsidR="00596FF1" w:rsidRPr="007A1806">
        <w:t>for</w:t>
      </w:r>
      <w:r w:rsidR="00545F41" w:rsidRPr="007A1806">
        <w:t xml:space="preserve"> DCI of PDSCH with feedback-enabled HARQ processes, the C-DAI and T-DAI are the count of only feedback-enabled processes</w:t>
      </w:r>
      <w:r w:rsidR="00596FF1" w:rsidRPr="007A1806">
        <w:t>.</w:t>
      </w:r>
      <w:r w:rsidR="00545F41" w:rsidRPr="007A1806">
        <w:t xml:space="preserve"> </w:t>
      </w:r>
      <w:r w:rsidRPr="007A1806">
        <w:t>The details of C-DAI and T-DAI counting for DCI of PDSCH with feedback</w:t>
      </w:r>
      <w:r w:rsidR="00545F41" w:rsidRPr="007A1806" w:rsidDel="00545F41">
        <w:t xml:space="preserve"> </w:t>
      </w:r>
      <w:r w:rsidRPr="007A1806">
        <w:t xml:space="preserve">/disabled HARQ processes </w:t>
      </w:r>
      <w:r w:rsidR="006768A3">
        <w:t>were</w:t>
      </w:r>
      <w:r w:rsidRPr="007A1806">
        <w:t xml:space="preserve"> left for further study.</w:t>
      </w:r>
      <w:r w:rsidR="006768A3">
        <w:t xml:space="preserve"> </w:t>
      </w:r>
      <w:r w:rsidR="006768A3" w:rsidRPr="007A1806">
        <w:t>At RAN1#10</w:t>
      </w:r>
      <w:r w:rsidR="006768A3">
        <w:t>6</w:t>
      </w:r>
      <w:r w:rsidR="006768A3" w:rsidRPr="007A1806">
        <w:t>-e, the following agreement was made:</w:t>
      </w:r>
      <w:r w:rsidR="006768A3" w:rsidRPr="007A1806">
        <w:tab/>
      </w:r>
    </w:p>
    <w:p w14:paraId="19DB6686" w14:textId="6EE837DD" w:rsidR="006768A3" w:rsidRPr="007A1806" w:rsidRDefault="006768A3" w:rsidP="003B3457">
      <w:r w:rsidRPr="007A1806">
        <w:rPr>
          <w:noProof/>
        </w:rPr>
        <mc:AlternateContent>
          <mc:Choice Requires="wps">
            <w:drawing>
              <wp:inline distT="0" distB="0" distL="0" distR="0" wp14:anchorId="5DB414FE" wp14:editId="5EDFB8FB">
                <wp:extent cx="6120765" cy="1301750"/>
                <wp:effectExtent l="0" t="0" r="13335" b="1270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1750"/>
                        </a:xfrm>
                        <a:prstGeom prst="rect">
                          <a:avLst/>
                        </a:prstGeom>
                        <a:solidFill>
                          <a:schemeClr val="lt1">
                            <a:lumMod val="100000"/>
                            <a:lumOff val="0"/>
                          </a:schemeClr>
                        </a:solidFill>
                        <a:ln w="6350">
                          <a:solidFill>
                            <a:srgbClr val="000000"/>
                          </a:solidFill>
                          <a:miter lim="800000"/>
                          <a:headEnd/>
                          <a:tailEnd/>
                        </a:ln>
                      </wps:spPr>
                      <wps:txbx>
                        <w:txbxContent>
                          <w:p w14:paraId="5F55883C" w14:textId="77777777" w:rsidR="006768A3" w:rsidRPr="000F0908" w:rsidRDefault="006768A3" w:rsidP="003B3457">
                            <w:r w:rsidRPr="000F0908">
                              <w:rPr>
                                <w:highlight w:val="green"/>
                              </w:rPr>
                              <w:t>Agreement:</w:t>
                            </w:r>
                          </w:p>
                          <w:p w14:paraId="6F5841E2" w14:textId="77777777" w:rsidR="006768A3" w:rsidRPr="00E47306" w:rsidRDefault="006768A3" w:rsidP="003B3457">
                            <w:r w:rsidRPr="00E47306">
                              <w:t>For Type-2 HARQ codebook, for the DCI of PDSCH with feedback-disabled HARQ processes:</w:t>
                            </w:r>
                          </w:p>
                          <w:p w14:paraId="27E45E02" w14:textId="77777777" w:rsidR="006768A3" w:rsidRPr="00E47306" w:rsidRDefault="006768A3" w:rsidP="003B3457">
                            <w:pPr>
                              <w:pStyle w:val="ListParagraph"/>
                              <w:numPr>
                                <w:ilvl w:val="0"/>
                                <w:numId w:val="20"/>
                              </w:numPr>
                            </w:pPr>
                            <w:r w:rsidRPr="00E47306">
                              <w:t>Option-1: The C-DAI and T-DAI are the count of feedback-enabled processes, despite they are not incremented, and are taken into account by the UE</w:t>
                            </w:r>
                          </w:p>
                          <w:p w14:paraId="7EF74392" w14:textId="77777777" w:rsidR="006768A3" w:rsidRPr="00E47306" w:rsidRDefault="006768A3" w:rsidP="003B3457">
                            <w:pPr>
                              <w:pStyle w:val="ListParagraph"/>
                              <w:numPr>
                                <w:ilvl w:val="0"/>
                                <w:numId w:val="20"/>
                              </w:numPr>
                            </w:pPr>
                            <w:r w:rsidRPr="00E47306">
                              <w:t>Option-2: The C-DAI and T-DAI are ignored by the UE regardless of the value</w:t>
                            </w:r>
                          </w:p>
                        </w:txbxContent>
                      </wps:txbx>
                      <wps:bodyPr rot="0" vert="horz" wrap="square" lIns="91440" tIns="45720" rIns="91440" bIns="45720" anchor="t" anchorCtr="0" upright="1">
                        <a:noAutofit/>
                      </wps:bodyPr>
                    </wps:wsp>
                  </a:graphicData>
                </a:graphic>
              </wp:inline>
            </w:drawing>
          </mc:Choice>
          <mc:Fallback>
            <w:pict>
              <v:shape w14:anchorId="5DB414FE" id="Text Box 16" o:spid="_x0000_s1030" type="#_x0000_t202" style="width:481.95pt;height: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" fillcolor="white [3201]" strokeweight=".5pt">
                <v:textbox>
                  <w:txbxContent>
                    <w:p w14:paraId="5F55883C" w14:textId="77777777" w:rsidR="006768A3" w:rsidRPr="000F0908" w:rsidRDefault="006768A3" w:rsidP="003B3457">
                      <w:r w:rsidRPr="000F0908">
                        <w:rPr>
                          <w:highlight w:val="green"/>
                        </w:rPr>
                        <w:t>Agreement:</w:t>
                      </w:r>
                    </w:p>
                    <w:p w14:paraId="6F5841E2" w14:textId="77777777" w:rsidR="006768A3" w:rsidRPr="00E47306" w:rsidRDefault="006768A3" w:rsidP="003B3457">
                      <w:r w:rsidRPr="00E47306">
                        <w:t>For Type-2 HARQ codebook, for the DCI of PDSCH with feedback-disabled HARQ processes:</w:t>
                      </w:r>
                    </w:p>
                    <w:p w14:paraId="27E45E02" w14:textId="77777777" w:rsidR="006768A3" w:rsidRPr="00E47306" w:rsidRDefault="006768A3" w:rsidP="003B3457">
                      <w:pPr>
                        <w:pStyle w:val="ListParagraph"/>
                        <w:numPr>
                          <w:ilvl w:val="0"/>
                          <w:numId w:val="20"/>
                        </w:numPr>
                      </w:pPr>
                      <w:r w:rsidRPr="00E47306">
                        <w:t>Option-1: The C-DAI and T-DAI are the count of feedback-enabled processes, despite they are not incremented, and are taken into account by the UE</w:t>
                      </w:r>
                    </w:p>
                    <w:p w14:paraId="7EF74392" w14:textId="77777777" w:rsidR="006768A3" w:rsidRPr="00E47306" w:rsidRDefault="006768A3" w:rsidP="003B3457">
                      <w:pPr>
                        <w:pStyle w:val="ListParagraph"/>
                        <w:numPr>
                          <w:ilvl w:val="0"/>
                          <w:numId w:val="20"/>
                        </w:numPr>
                      </w:pPr>
                      <w:r w:rsidRPr="00E47306">
                        <w:t>Option-2: The C-DAI and T-DAI are ignored by the UE regardless of the value</w:t>
                      </w:r>
                    </w:p>
                  </w:txbxContent>
                </v:textbox>
                <w10:anchorlock/>
              </v:shape>
            </w:pict>
          </mc:Fallback>
        </mc:AlternateContent>
      </w:r>
    </w:p>
    <w:p w14:paraId="790EF1A4" w14:textId="699FFE26" w:rsidR="00571373" w:rsidRPr="009206CA" w:rsidRDefault="0078282F" w:rsidP="003B3457">
      <w:r w:rsidRPr="009206CA">
        <w:t>O</w:t>
      </w:r>
      <w:r w:rsidR="00571373" w:rsidRPr="009206CA">
        <w:t>ption 1</w:t>
      </w:r>
      <w:r w:rsidRPr="009206CA">
        <w:t xml:space="preserve"> is preferred</w:t>
      </w:r>
      <w:r w:rsidR="00571373" w:rsidRPr="009206CA">
        <w:t xml:space="preserve">. The UE should use the DAI in DCI of PDSCH with feedback-disabled HARQ process to detect if a previous DCI of PDSCH with feedback-enabled HARQ processes has been missed. In such case, the HARQ codebook size can be correctly chosen based on the DAI in the DCI of the feedback-disabled </w:t>
      </w:r>
      <w:r w:rsidR="00F06623" w:rsidRPr="009206CA">
        <w:t xml:space="preserve">HARQ </w:t>
      </w:r>
      <w:r w:rsidR="00571373" w:rsidRPr="009206CA">
        <w:t xml:space="preserve">process, and the </w:t>
      </w:r>
      <w:r w:rsidR="00F06623" w:rsidRPr="009206CA">
        <w:t>feedback-enabled HARQ process detected to be missing can be NACKed.</w:t>
      </w:r>
    </w:p>
    <w:p w14:paraId="3DE7C3A7" w14:textId="0162D983" w:rsidR="00325EBC" w:rsidRPr="009206CA" w:rsidRDefault="0047105D" w:rsidP="003B3457">
      <w:pPr>
        <w:pStyle w:val="Proposal"/>
      </w:pPr>
      <w:bookmarkStart w:id="4" w:name="_Hlk70973967"/>
      <w:bookmarkStart w:id="5" w:name="_Toc87031490"/>
      <w:r w:rsidRPr="009206CA">
        <w:t>In case of Type-2 HARQ codeboo</w:t>
      </w:r>
      <w:r w:rsidR="0078282F" w:rsidRPr="009206CA">
        <w:t>k:</w:t>
      </w:r>
      <w:r w:rsidR="0078282F" w:rsidRPr="009206CA">
        <w:br/>
        <w:t>- W</w:t>
      </w:r>
      <w:r w:rsidRPr="009206CA">
        <w:t xml:space="preserve">hen HARQ processes are enabled/disabled on a per HARQ process basis, C-DAI/T-DAI count PDSCH with feedback-enabled HARQ processes. In the DCI, the C-DAI and T-DAI </w:t>
      </w:r>
      <w:r w:rsidR="009962C5" w:rsidRPr="009206CA">
        <w:t xml:space="preserve">give </w:t>
      </w:r>
      <w:r w:rsidRPr="009206CA">
        <w:t>the count of feedback-enabled HARQ processes</w:t>
      </w:r>
      <w:r w:rsidR="009962C5" w:rsidRPr="009206CA">
        <w:t xml:space="preserve"> </w:t>
      </w:r>
      <w:r w:rsidRPr="009206CA">
        <w:t>regardless of whether a feedback-enabled or feedback-disabled HARQ process is scheduled.</w:t>
      </w:r>
      <w:r w:rsidR="0078282F" w:rsidRPr="009206CA">
        <w:br/>
        <w:t>-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bookmarkEnd w:id="5"/>
    </w:p>
    <w:bookmarkEnd w:id="4"/>
    <w:p w14:paraId="324C3ABC" w14:textId="433ADD76" w:rsidR="006145F1" w:rsidRPr="007A1806" w:rsidRDefault="006145F1" w:rsidP="000642B1">
      <w:pPr>
        <w:pStyle w:val="Heading2"/>
        <w:rPr>
          <w:rFonts w:cs="Arial"/>
        </w:rPr>
      </w:pPr>
      <w:r w:rsidRPr="007A1806">
        <w:rPr>
          <w:rFonts w:cs="Arial"/>
        </w:rPr>
        <w:t>Type-3 HARQ codebook</w:t>
      </w:r>
    </w:p>
    <w:p w14:paraId="3316F39F" w14:textId="7D1284B4" w:rsidR="006145F1" w:rsidRPr="007A1806" w:rsidRDefault="006145F1" w:rsidP="003B3457">
      <w:r w:rsidRPr="007A1806">
        <w:t xml:space="preserve">Type-3 HARQ codebook is introduced in Rel-16, motivated by NR operation in unlicensed spectrum that often requires listen-before-talk (LBT) to assess the availability of the carrier since the carrier may be shared with other networks and may not be </w:t>
      </w:r>
      <w:r w:rsidRPr="003B3457">
        <w:t>available</w:t>
      </w:r>
      <w:r w:rsidRPr="007A1806">
        <w:t xml:space="preserve"> at any given time. It was agreed at RAN1#103-e that Type-3 HARQ codebook can be applied also to licensed spectrum. This is in line with general NR design principle that NR is a toolbox of features and each feature should not be limited to a certain use case or deployment and it is up to implementation to use it as fit. In particular, the Type-3 HARQ codebook can be used to increase robustness of HARQ operation in any network and can be useful for NTN as well. There should not be some artificial restriction that Type-3 HARQ codebook is not applicable to NTN.</w:t>
      </w:r>
    </w:p>
    <w:p w14:paraId="128CE5D8" w14:textId="77777777" w:rsidR="006145F1" w:rsidRPr="007A1806" w:rsidRDefault="006145F1" w:rsidP="003B3457">
      <w:pPr>
        <w:pStyle w:val="Observation"/>
      </w:pPr>
      <w:bookmarkStart w:id="6" w:name="_Toc87031480"/>
      <w:r w:rsidRPr="007A1806">
        <w:t>RAN1 already agreed that Type-3 HARQ codebook can be applied in licensed spectrum.</w:t>
      </w:r>
      <w:bookmarkEnd w:id="6"/>
    </w:p>
    <w:p w14:paraId="425A4318" w14:textId="77777777" w:rsidR="006145F1" w:rsidRPr="007A1806" w:rsidRDefault="006145F1" w:rsidP="003B3457">
      <w:pPr>
        <w:pStyle w:val="Observation"/>
      </w:pPr>
      <w:bookmarkStart w:id="7" w:name="_Toc87031481"/>
      <w:r w:rsidRPr="007A1806">
        <w:t>NR is a toolbox of features. Each feature should not be limited to a certain use case or deployment and it is up to implementation to use it as fit.</w:t>
      </w:r>
      <w:bookmarkEnd w:id="7"/>
    </w:p>
    <w:p w14:paraId="1BCCCF54" w14:textId="77777777" w:rsidR="006145F1" w:rsidRPr="007A1806" w:rsidRDefault="006145F1" w:rsidP="003B3457">
      <w:pPr>
        <w:pStyle w:val="Observation"/>
      </w:pPr>
      <w:bookmarkStart w:id="8" w:name="_Toc87031482"/>
      <w:r w:rsidRPr="007A1806">
        <w:t>There should not be some artificial restriction that Type-3 HARQ codebook is not applicable to NTN.</w:t>
      </w:r>
      <w:bookmarkEnd w:id="8"/>
    </w:p>
    <w:p w14:paraId="7E9B0C46" w14:textId="3E0E1659" w:rsidR="00486076" w:rsidRPr="007A1806" w:rsidRDefault="009257BF" w:rsidP="003B3457">
      <w:r w:rsidRPr="007A1806">
        <w:t>In the case of the NR Type-</w:t>
      </w:r>
      <w:r w:rsidR="00477107" w:rsidRPr="007A1806">
        <w:t>3</w:t>
      </w:r>
      <w:r w:rsidRPr="007A1806">
        <w:t xml:space="preserve"> HARQ codebook, </w:t>
      </w:r>
      <w:r w:rsidR="00335EAF" w:rsidRPr="007A1806">
        <w:t>feedback is provided on all HARQ processes in one shot. In order to reduce unnecessary overhead</w:t>
      </w:r>
      <w:r w:rsidRPr="007A1806">
        <w:t xml:space="preserve"> one simple approach is to</w:t>
      </w:r>
      <w:r w:rsidR="00335EAF" w:rsidRPr="007A1806">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7A1806">
        <w:t xml:space="preserve">  </w:t>
      </w:r>
      <w:bookmarkStart w:id="9" w:name="_Toc31805899"/>
    </w:p>
    <w:p w14:paraId="70048F24" w14:textId="7E11F2A9" w:rsidR="007C1F4F" w:rsidRPr="007A1806" w:rsidRDefault="00523E86" w:rsidP="003B3457">
      <w:pPr>
        <w:pStyle w:val="Proposal"/>
      </w:pPr>
      <w:bookmarkStart w:id="10" w:name="_Toc87031491"/>
      <w:bookmarkEnd w:id="9"/>
      <w:r w:rsidRPr="007A1806">
        <w:t>In the case of the NR Type-3 HARQ codebook, w</w:t>
      </w:r>
      <w:r w:rsidR="00335EAF" w:rsidRPr="007A1806">
        <w:t xml:space="preserve">hen HARQ processes are enabled/disabled on a per HARQ process basis, </w:t>
      </w:r>
      <w:r w:rsidR="006C060D" w:rsidRPr="007A1806">
        <w:t xml:space="preserve">the codebook </w:t>
      </w:r>
      <w:r w:rsidR="00DC624C" w:rsidRPr="007A1806">
        <w:t xml:space="preserve">size is dimensioned to </w:t>
      </w:r>
      <w:r w:rsidR="006C060D" w:rsidRPr="007A1806">
        <w:t>include ACK/NACK information only for HARQ processes that are enabled.</w:t>
      </w:r>
      <w:bookmarkEnd w:id="10"/>
      <w:r w:rsidR="006C060D" w:rsidRPr="007A1806">
        <w:t xml:space="preserve"> </w:t>
      </w:r>
    </w:p>
    <w:p w14:paraId="130D6355" w14:textId="40EBCB0A" w:rsidR="0072507B" w:rsidRPr="007A1806" w:rsidRDefault="00D87587" w:rsidP="00113A9B">
      <w:pPr>
        <w:pStyle w:val="Heading1"/>
        <w:rPr>
          <w:rFonts w:cs="Arial"/>
        </w:rPr>
      </w:pPr>
      <w:r w:rsidRPr="007A1806">
        <w:rPr>
          <w:rFonts w:cs="Arial"/>
        </w:rPr>
        <w:t xml:space="preserve">Out-of-order </w:t>
      </w:r>
      <w:r w:rsidR="0072507B" w:rsidRPr="007A1806">
        <w:rPr>
          <w:rFonts w:cs="Arial"/>
        </w:rPr>
        <w:t>HARQ feedback scheduling restriction for PDSCHs</w:t>
      </w:r>
    </w:p>
    <w:p w14:paraId="41C492A2" w14:textId="4C7E5471" w:rsidR="001B4F9C" w:rsidRPr="007A1806" w:rsidRDefault="0072507B" w:rsidP="003B3457">
      <w:r w:rsidRPr="007A1806">
        <w:t xml:space="preserve">In the specification, transmission of PDSCHs with different HARQ process IDs is subject to </w:t>
      </w:r>
      <w:r w:rsidR="00FF07F1" w:rsidRPr="007A1806">
        <w:t xml:space="preserve">the so-called </w:t>
      </w:r>
      <w:r w:rsidR="003D79D6" w:rsidRPr="007A1806">
        <w:rPr>
          <w:lang w:bidi="fa-IR"/>
        </w:rPr>
        <w:t>“</w:t>
      </w:r>
      <w:r w:rsidR="00FF07F1" w:rsidRPr="007A1806">
        <w:t>out-of-order HARQ</w:t>
      </w:r>
      <w:r w:rsidRPr="007A1806">
        <w:t xml:space="preserve"> restriction</w:t>
      </w:r>
      <w:r w:rsidR="003D79D6" w:rsidRPr="007A1806">
        <w:t>”</w:t>
      </w:r>
      <w:r w:rsidRPr="007A1806">
        <w:t xml:space="preserve"> according to clause 5.1 in</w:t>
      </w:r>
      <w:r w:rsidR="002A6646" w:rsidRPr="007A1806">
        <w:t xml:space="preserve"> </w:t>
      </w:r>
      <w:r w:rsidR="001B4F9C" w:rsidRPr="007A1806">
        <w:fldChar w:fldCharType="begin"/>
      </w:r>
      <w:r w:rsidR="001B4F9C" w:rsidRPr="007A1806">
        <w:instrText xml:space="preserve"> REF _Ref61619345 \r \h </w:instrText>
      </w:r>
      <w:r w:rsidR="007A1806">
        <w:instrText xml:space="preserve"> \* MERGEFORMAT </w:instrText>
      </w:r>
      <w:r w:rsidR="001B4F9C" w:rsidRPr="007A1806">
        <w:fldChar w:fldCharType="separate"/>
      </w:r>
      <w:r w:rsidR="00570DDB">
        <w:t>[7]</w:t>
      </w:r>
      <w:r w:rsidR="001B4F9C" w:rsidRPr="007A1806">
        <w:fldChar w:fldCharType="end"/>
      </w:r>
      <w:r w:rsidR="001B4F9C" w:rsidRPr="007A1806">
        <w:t>:</w:t>
      </w:r>
      <w:r w:rsidR="001B4F9C" w:rsidRPr="007A1806">
        <w:rPr>
          <w:rStyle w:val="CommentReference"/>
          <w:rFonts w:ascii="Arial" w:hAnsi="Arial" w:cs="Arial"/>
        </w:rPr>
        <w:t xml:space="preserve"> </w:t>
      </w:r>
    </w:p>
    <w:p w14:paraId="7251F488" w14:textId="219A9860" w:rsidR="0072507B" w:rsidRPr="007A1806" w:rsidRDefault="0072507B" w:rsidP="003B3457">
      <w:pPr>
        <w:pStyle w:val="ListParagraph"/>
      </w:pPr>
      <w:r w:rsidRPr="007A1806">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4D1F09CE" w14:textId="0BC15356" w:rsidR="0072507B" w:rsidRPr="007A1806" w:rsidRDefault="0072507B" w:rsidP="003B3457">
      <w:r w:rsidRPr="007A1806">
        <w:t>This is shown in</w:t>
      </w:r>
      <w:r w:rsidR="00735819" w:rsidRPr="007A1806">
        <w:t xml:space="preserve"> </w:t>
      </w:r>
      <w:r w:rsidR="00735819" w:rsidRPr="007A1806">
        <w:fldChar w:fldCharType="begin"/>
      </w:r>
      <w:r w:rsidR="00735819" w:rsidRPr="007A1806">
        <w:instrText xml:space="preserve"> REF _Ref71020016 \h  \* MERGEFORMAT </w:instrText>
      </w:r>
      <w:r w:rsidR="00735819" w:rsidRPr="007A1806">
        <w:fldChar w:fldCharType="separate"/>
      </w:r>
      <w:r w:rsidR="00570DDB" w:rsidRPr="007A1806">
        <w:t xml:space="preserve">Figure </w:t>
      </w:r>
      <w:r w:rsidR="00570DDB">
        <w:rPr>
          <w:noProof/>
        </w:rPr>
        <w:t>1</w:t>
      </w:r>
      <w:r w:rsidR="00735819" w:rsidRPr="007A1806">
        <w:fldChar w:fldCharType="end"/>
      </w:r>
      <w:r w:rsidRPr="007A1806">
        <w:t>.</w:t>
      </w:r>
    </w:p>
    <w:p w14:paraId="3AC7FC2D" w14:textId="082F25E0" w:rsidR="0072507B" w:rsidRPr="007A1806" w:rsidRDefault="0072507B" w:rsidP="003B3457">
      <w:r w:rsidRPr="007A1806">
        <w:rPr>
          <w:noProof/>
        </w:rPr>
        <w:drawing>
          <wp:inline distT="0" distB="0" distL="0" distR="0" wp14:anchorId="29E513ED" wp14:editId="543A308E">
            <wp:extent cx="5578928" cy="260241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6686" cy="2610701"/>
                    </a:xfrm>
                    <a:prstGeom prst="rect">
                      <a:avLst/>
                    </a:prstGeom>
                    <a:noFill/>
                  </pic:spPr>
                </pic:pic>
              </a:graphicData>
            </a:graphic>
          </wp:inline>
        </w:drawing>
      </w:r>
    </w:p>
    <w:p w14:paraId="25222A1C" w14:textId="2D63A364" w:rsidR="0072507B" w:rsidRPr="007A1806" w:rsidRDefault="00735819" w:rsidP="003B3457">
      <w:pPr>
        <w:pStyle w:val="Caption"/>
        <w:jc w:val="center"/>
      </w:pPr>
      <w:bookmarkStart w:id="11" w:name="_Ref71020016"/>
      <w:r w:rsidRPr="007A1806">
        <w:t xml:space="preserve">Figure </w:t>
      </w:r>
      <w:fldSimple w:instr=" SEQ Figure \* ARABIC ">
        <w:r w:rsidR="00570DDB">
          <w:rPr>
            <w:noProof/>
          </w:rPr>
          <w:t>1</w:t>
        </w:r>
      </w:fldSimple>
      <w:bookmarkEnd w:id="11"/>
      <w:r w:rsidRPr="007A1806">
        <w:t xml:space="preserve">: </w:t>
      </w:r>
      <w:r w:rsidR="00FF07F1" w:rsidRPr="007A1806">
        <w:t xml:space="preserve">Out-of-order </w:t>
      </w:r>
      <w:r w:rsidRPr="007A1806">
        <w:t xml:space="preserve">HARQ feedback scheduling </w:t>
      </w:r>
      <w:r w:rsidR="00BF55B7" w:rsidRPr="007A1806">
        <w:t>restriction</w:t>
      </w:r>
      <w:r w:rsidRPr="007A1806">
        <w:t xml:space="preserve"> for PDSCH</w:t>
      </w:r>
    </w:p>
    <w:p w14:paraId="3CE35C93" w14:textId="38B1B33D" w:rsidR="00384EA9" w:rsidRPr="007A1806" w:rsidRDefault="0072507B" w:rsidP="003B3457">
      <w:r w:rsidRPr="007A1806">
        <w:t>However,</w:t>
      </w:r>
      <w:r w:rsidR="00183141" w:rsidRPr="007A1806">
        <w:t xml:space="preserve"> in Rel-17 NTN WI</w:t>
      </w:r>
      <w:r w:rsidRPr="007A1806">
        <w:t xml:space="preserve"> </w:t>
      </w:r>
      <w:r w:rsidR="007060BF" w:rsidRPr="007A1806">
        <w:t xml:space="preserve">it is agreed that </w:t>
      </w:r>
      <w:r w:rsidRPr="007A1806">
        <w:t>HARQ</w:t>
      </w:r>
      <w:r w:rsidR="007060BF" w:rsidRPr="007A1806">
        <w:t>-</w:t>
      </w:r>
      <w:r w:rsidR="00AB45C8" w:rsidRPr="007A1806">
        <w:t>ACK</w:t>
      </w:r>
      <w:r w:rsidRPr="007A1806">
        <w:t xml:space="preserve"> feedback </w:t>
      </w:r>
      <w:r w:rsidR="007060BF" w:rsidRPr="007A1806">
        <w:t xml:space="preserve">can be disabled </w:t>
      </w:r>
      <w:r w:rsidRPr="007A1806">
        <w:t xml:space="preserve">per HARQ </w:t>
      </w:r>
      <w:r w:rsidR="00AB45C8" w:rsidRPr="007A1806">
        <w:t>process</w:t>
      </w:r>
      <w:r w:rsidR="00183141" w:rsidRPr="007A1806">
        <w:t>. In this case, t</w:t>
      </w:r>
      <w:r w:rsidRPr="007A1806">
        <w:t>he rest</w:t>
      </w:r>
      <w:r w:rsidR="00AB45C8" w:rsidRPr="007A1806">
        <w:t>r</w:t>
      </w:r>
      <w:r w:rsidRPr="007A1806">
        <w:t>iction of PDSCH</w:t>
      </w:r>
      <w:r w:rsidR="00183141" w:rsidRPr="007A1806">
        <w:t xml:space="preserve"> scheduling</w:t>
      </w:r>
      <w:r w:rsidRPr="007A1806">
        <w:t xml:space="preserve"> when one or both of the HARQ processes </w:t>
      </w:r>
      <w:r w:rsidR="00487C67" w:rsidRPr="007A1806">
        <w:t xml:space="preserve">are </w:t>
      </w:r>
      <w:r w:rsidRPr="007A1806">
        <w:t xml:space="preserve">disabled is not </w:t>
      </w:r>
      <w:r w:rsidR="00BF55B7" w:rsidRPr="007A1806">
        <w:t>clear</w:t>
      </w:r>
      <w:r w:rsidRPr="007A1806">
        <w:t>. This is important</w:t>
      </w:r>
      <w:r w:rsidR="00FF07F1" w:rsidRPr="007A1806">
        <w:t xml:space="preserve"> </w:t>
      </w:r>
      <w:r w:rsidRPr="007A1806">
        <w:t>because th</w:t>
      </w:r>
      <w:r w:rsidR="00AB45C8" w:rsidRPr="007A1806">
        <w:t>e</w:t>
      </w:r>
      <w:r w:rsidRPr="007A1806">
        <w:t xml:space="preserve"> </w:t>
      </w:r>
      <w:r w:rsidR="00AB45C8" w:rsidRPr="007A1806">
        <w:t xml:space="preserve">timing </w:t>
      </w:r>
      <w:r w:rsidRPr="007A1806">
        <w:t xml:space="preserve">restriction </w:t>
      </w:r>
      <w:r w:rsidR="00BF55B7" w:rsidRPr="007A1806">
        <w:t>is</w:t>
      </w:r>
      <w:r w:rsidRPr="007A1806">
        <w:t xml:space="preserve"> defined based on the UE processing capability. Therefore</w:t>
      </w:r>
      <w:r w:rsidR="00AB45C8" w:rsidRPr="007A1806">
        <w:t>,</w:t>
      </w:r>
      <w:r w:rsidRPr="007A1806">
        <w:t xml:space="preserve"> it is necessary to </w:t>
      </w:r>
      <w:r w:rsidR="00FF07F1" w:rsidRPr="007A1806">
        <w:t xml:space="preserve">discuss </w:t>
      </w:r>
      <w:r w:rsidR="00BF55B7" w:rsidRPr="007A1806">
        <w:t>how to adapt the</w:t>
      </w:r>
      <w:r w:rsidRPr="007A1806">
        <w:t xml:space="preserve"> timing restriction for PDSCH sche</w:t>
      </w:r>
      <w:r w:rsidR="00AB45C8" w:rsidRPr="007A1806">
        <w:t>d</w:t>
      </w:r>
      <w:r w:rsidRPr="007A1806">
        <w:t>uling when the HARQ feedback is disabled.</w:t>
      </w:r>
    </w:p>
    <w:p w14:paraId="7A393E28" w14:textId="3783E530" w:rsidR="0072507B" w:rsidRPr="007A1806" w:rsidRDefault="0072507B" w:rsidP="003B3457">
      <w:pPr>
        <w:pStyle w:val="Observation"/>
      </w:pPr>
      <w:bookmarkStart w:id="12" w:name="_Toc87031483"/>
      <w:r w:rsidRPr="007A1806">
        <w:t xml:space="preserve">Currently </w:t>
      </w:r>
      <w:r w:rsidR="00FF07F1" w:rsidRPr="007A1806">
        <w:t>out-of-order HARQ</w:t>
      </w:r>
      <w:r w:rsidRPr="007A1806">
        <w:t xml:space="preserve"> timing restriction </w:t>
      </w:r>
      <w:r w:rsidR="00BF55B7" w:rsidRPr="007A1806">
        <w:t>is</w:t>
      </w:r>
      <w:r w:rsidRPr="007A1806">
        <w:t xml:space="preserve"> defined for PDSCH scheduling based on the HARQ-ACK feedback in</w:t>
      </w:r>
      <w:r w:rsidR="00FF07F1" w:rsidRPr="007A1806">
        <w:t xml:space="preserve"> TS 38.214</w:t>
      </w:r>
      <w:r w:rsidR="007F271A" w:rsidRPr="007A1806">
        <w:t xml:space="preserve">. </w:t>
      </w:r>
      <w:r w:rsidR="00DC5337" w:rsidRPr="007A1806">
        <w:t>I</w:t>
      </w:r>
      <w:r w:rsidR="007F271A" w:rsidRPr="007A1806">
        <w:t>t is not clear what UE should expect regarding PDSCH schedu</w:t>
      </w:r>
      <w:r w:rsidR="00DB5150" w:rsidRPr="007A1806">
        <w:t>l</w:t>
      </w:r>
      <w:r w:rsidR="007F271A" w:rsidRPr="007A1806">
        <w:t>ing timing when HARQ feedback is disabled. Therefore</w:t>
      </w:r>
      <w:r w:rsidR="00FF07F1" w:rsidRPr="007A1806">
        <w:t>,</w:t>
      </w:r>
      <w:r w:rsidR="007F271A" w:rsidRPr="007A1806">
        <w:t xml:space="preserve"> it is necessary to </w:t>
      </w:r>
      <w:r w:rsidR="00FF07F1" w:rsidRPr="007A1806">
        <w:t xml:space="preserve">discuss </w:t>
      </w:r>
      <w:r w:rsidR="007F271A" w:rsidRPr="007A1806">
        <w:t>the scheduling</w:t>
      </w:r>
      <w:r w:rsidR="00DB5150" w:rsidRPr="007A1806">
        <w:t xml:space="preserve"> restriction when HARQ feedback is disabled.</w:t>
      </w:r>
      <w:bookmarkEnd w:id="12"/>
    </w:p>
    <w:p w14:paraId="7B5945D7" w14:textId="0C072BD6" w:rsidR="003D79D6" w:rsidRPr="007A1806" w:rsidRDefault="00F52675" w:rsidP="003B3457">
      <w:r w:rsidRPr="007A1806">
        <w:t>Depending on which one of the HARQ processes</w:t>
      </w:r>
      <w:r w:rsidR="00254F14" w:rsidRPr="007A1806">
        <w:t xml:space="preserve"> </w:t>
      </w:r>
      <w:r w:rsidR="005A005F" w:rsidRPr="007A1806">
        <w:t>is</w:t>
      </w:r>
      <w:r w:rsidR="008548B8" w:rsidRPr="007A1806">
        <w:t xml:space="preserve"> disabled</w:t>
      </w:r>
      <w:r w:rsidRPr="007A1806">
        <w:t xml:space="preserve"> in the above situation</w:t>
      </w:r>
      <w:r w:rsidR="008548B8" w:rsidRPr="007A1806">
        <w:t>, 3</w:t>
      </w:r>
      <w:r w:rsidRPr="007A1806">
        <w:t xml:space="preserve"> different cases can be </w:t>
      </w:r>
      <w:r w:rsidR="008548B8" w:rsidRPr="007A1806">
        <w:t xml:space="preserve">considered. </w:t>
      </w:r>
      <w:r w:rsidR="00F8659D" w:rsidRPr="007A1806">
        <w:t xml:space="preserve">One way to resolve </w:t>
      </w:r>
      <w:r w:rsidR="00D44874" w:rsidRPr="007A1806">
        <w:t>t</w:t>
      </w:r>
      <w:r w:rsidR="00F8659D" w:rsidRPr="007A1806">
        <w:t xml:space="preserve">he </w:t>
      </w:r>
      <w:r w:rsidR="00D44874" w:rsidRPr="007A1806">
        <w:t>specification</w:t>
      </w:r>
      <w:r w:rsidR="00F8659D" w:rsidRPr="007A1806">
        <w:t xml:space="preserve"> issue is to </w:t>
      </w:r>
      <w:r w:rsidR="00D44874" w:rsidRPr="007A1806">
        <w:t>preserve the same</w:t>
      </w:r>
      <w:r w:rsidR="00F8659D" w:rsidRPr="007A1806">
        <w:t xml:space="preserve"> </w:t>
      </w:r>
      <w:r w:rsidR="004A2F11">
        <w:t>“</w:t>
      </w:r>
      <w:r w:rsidR="00F8659D" w:rsidRPr="007A1806">
        <w:t>out-of-order restriction</w:t>
      </w:r>
      <w:r w:rsidR="00D44874" w:rsidRPr="007A1806">
        <w:t>”</w:t>
      </w:r>
      <w:r w:rsidR="00167516" w:rsidRPr="007A1806">
        <w:t xml:space="preserve"> for the diabled HARQ process.</w:t>
      </w:r>
      <w:r w:rsidR="000D7A5F" w:rsidRPr="007A1806">
        <w:t xml:space="preserve"> The drawback with this approach is putting unnecessary restriction on the scheduler since there is no need for UE to send feedback when HARQ is disabled.</w:t>
      </w:r>
      <w:r w:rsidR="00AF35D2" w:rsidRPr="007A1806">
        <w:t xml:space="preserve"> Since for disabled HARQ processes, the UE does is not required to sen</w:t>
      </w:r>
      <w:r w:rsidR="00263F50" w:rsidRPr="007A1806">
        <w:t>d</w:t>
      </w:r>
      <w:r w:rsidR="00AF35D2" w:rsidRPr="007A1806">
        <w:t xml:space="preserve"> back the HARQ-ACK feedback, another app</w:t>
      </w:r>
      <w:r w:rsidR="00263F50" w:rsidRPr="007A1806">
        <w:t>r</w:t>
      </w:r>
      <w:r w:rsidR="00AF35D2" w:rsidRPr="007A1806">
        <w:t xml:space="preserve">oach would be to remove the </w:t>
      </w:r>
      <w:r w:rsidR="004A2F11">
        <w:t>“</w:t>
      </w:r>
      <w:r w:rsidR="00AF35D2" w:rsidRPr="007A1806">
        <w:t xml:space="preserve">out-of-order restriction” for the disabled HARQ processes. </w:t>
      </w:r>
      <w:r w:rsidR="009A1A59" w:rsidRPr="007A1806">
        <w:t>According to this solution, there is no need to indicate a</w:t>
      </w:r>
      <w:r w:rsidR="00AF35D2" w:rsidRPr="007A1806">
        <w:t xml:space="preserve"> K1 value for the disabled HARQ </w:t>
      </w:r>
      <w:r w:rsidR="009A1A59" w:rsidRPr="007A1806">
        <w:t>process to the UE, either it is not sent in DCI</w:t>
      </w:r>
      <w:r w:rsidR="00AF35D2" w:rsidRPr="007A1806">
        <w:t xml:space="preserve"> or it is </w:t>
      </w:r>
      <w:r w:rsidR="009A1A59" w:rsidRPr="007A1806">
        <w:t>ignored</w:t>
      </w:r>
      <w:r w:rsidR="00AF35D2" w:rsidRPr="007A1806">
        <w:t xml:space="preserve"> by the </w:t>
      </w:r>
      <w:r w:rsidR="009A1A59" w:rsidRPr="007A1806">
        <w:t>UE.</w:t>
      </w:r>
      <w:r w:rsidR="00AF35D2" w:rsidRPr="007A1806">
        <w:t xml:space="preserve"> Relaxing the restriction in this way give</w:t>
      </w:r>
      <w:r w:rsidR="00263F50" w:rsidRPr="007A1806">
        <w:t>s</w:t>
      </w:r>
      <w:r w:rsidR="00AF35D2" w:rsidRPr="007A1806">
        <w:t xml:space="preserve"> the scheduler more flexibility and also reduce</w:t>
      </w:r>
      <w:r w:rsidR="00263F50" w:rsidRPr="007A1806">
        <w:t>s</w:t>
      </w:r>
      <w:r w:rsidR="00AF35D2" w:rsidRPr="007A1806">
        <w:t xml:space="preserve"> the latency for PDSCH transmission.</w:t>
      </w:r>
    </w:p>
    <w:p w14:paraId="54203BBD" w14:textId="2BF56C50" w:rsidR="005D5A31" w:rsidRDefault="001C3EB9" w:rsidP="003B3457">
      <w:pPr>
        <w:pStyle w:val="Proposal"/>
      </w:pPr>
      <w:bookmarkStart w:id="13" w:name="_Toc87031492"/>
      <w:r w:rsidRPr="007A1806">
        <w:t xml:space="preserve">Regarding the </w:t>
      </w:r>
      <w:r w:rsidR="004A2F11">
        <w:t>“</w:t>
      </w:r>
      <w:r w:rsidRPr="007A1806">
        <w:t>out-of-order restriction” for transmission of different HARQ processes corr</w:t>
      </w:r>
      <w:r w:rsidR="00AA0AFE" w:rsidRPr="007A1806">
        <w:t>e</w:t>
      </w:r>
      <w:r w:rsidRPr="007A1806">
        <w:t xml:space="preserve">sponding to different PDSCHs, RAN1 </w:t>
      </w:r>
      <w:r w:rsidR="009252D4" w:rsidRPr="007A1806">
        <w:t xml:space="preserve">to </w:t>
      </w:r>
      <w:r w:rsidRPr="007A1806">
        <w:t>down</w:t>
      </w:r>
      <w:r w:rsidR="004A2F11">
        <w:t>-</w:t>
      </w:r>
      <w:r w:rsidRPr="007A1806">
        <w:t>select between following alternative</w:t>
      </w:r>
      <w:r w:rsidR="009252D4" w:rsidRPr="007A1806">
        <w:t>s</w:t>
      </w:r>
      <w:r w:rsidR="004256B8" w:rsidRPr="007A1806">
        <w:t>:</w:t>
      </w:r>
      <w:r w:rsidR="00085AD7">
        <w:br/>
      </w:r>
      <w:r w:rsidRPr="007A1806">
        <w:t xml:space="preserve">Alt-1: Preserve the same </w:t>
      </w:r>
      <w:r w:rsidR="004A2F11">
        <w:t>“</w:t>
      </w:r>
      <w:r w:rsidRPr="007A1806">
        <w:t>out-of-order restriction” for (enabled) HARQ processes in specification for the di</w:t>
      </w:r>
      <w:r w:rsidR="004256B8" w:rsidRPr="007A1806">
        <w:t>s</w:t>
      </w:r>
      <w:r w:rsidRPr="007A1806">
        <w:t>abled HARQ process</w:t>
      </w:r>
      <w:r w:rsidR="004256B8" w:rsidRPr="007A1806">
        <w:t>es</w:t>
      </w:r>
      <w:r w:rsidR="00085AD7">
        <w:br/>
      </w:r>
      <w:r w:rsidRPr="007A1806">
        <w:t xml:space="preserve">Alt-2: the </w:t>
      </w:r>
      <w:r w:rsidR="004A2F11">
        <w:t>“</w:t>
      </w:r>
      <w:r w:rsidRPr="007A1806">
        <w:t>out-of-order restriction” for (enabled) HARQ processes does not apply to disabled HARQ process</w:t>
      </w:r>
      <w:r w:rsidR="002E4212" w:rsidRPr="007A1806">
        <w:t>es</w:t>
      </w:r>
      <w:r w:rsidRPr="007A1806">
        <w:t>.</w:t>
      </w:r>
      <w:bookmarkEnd w:id="13"/>
      <w:r w:rsidRPr="007A1806">
        <w:t xml:space="preserve">  </w:t>
      </w:r>
    </w:p>
    <w:p w14:paraId="0148F2B0" w14:textId="6692F133" w:rsidR="00FB5A21" w:rsidRDefault="00FB5A21" w:rsidP="003B3457"/>
    <w:p w14:paraId="4D15BD7C" w14:textId="00D7F42F" w:rsidR="00FB5A21" w:rsidRDefault="00FB5A21" w:rsidP="00FB5A21">
      <w:pPr>
        <w:pStyle w:val="Heading1"/>
        <w:rPr>
          <w:rFonts w:cs="Arial"/>
        </w:rPr>
      </w:pPr>
      <w:r>
        <w:rPr>
          <w:rFonts w:cs="Arial"/>
        </w:rPr>
        <w:t>SPS</w:t>
      </w:r>
      <w:r w:rsidR="005D68D9">
        <w:rPr>
          <w:rFonts w:cs="Arial"/>
        </w:rPr>
        <w:t xml:space="preserve"> activation</w:t>
      </w:r>
    </w:p>
    <w:p w14:paraId="3DA534DA" w14:textId="77777777" w:rsidR="00DB5F14" w:rsidRPr="000D4075" w:rsidRDefault="005D68D9" w:rsidP="003B3457">
      <w:r>
        <w:t xml:space="preserve">HARQ feedback is enabled/disabled per HARQ process by the network. </w:t>
      </w:r>
      <w:r w:rsidR="00A1320D">
        <w:t xml:space="preserve">For SPS, a subset of the HARQ processes is configured to be used in </w:t>
      </w:r>
      <w:r w:rsidR="00DB5F14">
        <w:t>a given</w:t>
      </w:r>
      <w:r w:rsidR="00A1320D">
        <w:t xml:space="preserve"> SPS </w:t>
      </w:r>
      <w:r w:rsidR="00DB5F14">
        <w:t>configuration</w:t>
      </w:r>
      <w:r w:rsidR="00A1320D">
        <w:t xml:space="preserve">. A straightforward way for the network to get confirmation </w:t>
      </w:r>
      <w:r w:rsidR="00DB5F14">
        <w:t xml:space="preserve">of SPS activation </w:t>
      </w:r>
      <w:r w:rsidR="00A1320D">
        <w:t>is to enable HARQ feedback for one or more of the HARQ processes associated with the SPS allocation.</w:t>
      </w:r>
    </w:p>
    <w:p w14:paraId="6F842B56" w14:textId="76B0F61A" w:rsidR="005D68D9" w:rsidRPr="005D68D9" w:rsidRDefault="00DB5F14" w:rsidP="003B3457">
      <w:r>
        <w:t xml:space="preserve">It has been proposed to </w:t>
      </w:r>
      <w:r w:rsidR="00F84E88">
        <w:t xml:space="preserve">introduce </w:t>
      </w:r>
      <w:r>
        <w:t xml:space="preserve">an exception </w:t>
      </w:r>
      <w:r w:rsidR="00F84E88">
        <w:t>that HARQ feedback is mandated for SPS activation. However, w</w:t>
      </w:r>
      <w:r w:rsidR="005D68D9" w:rsidRPr="005D68D9">
        <w:t>e prefer keeping the solution simple by avoiding introduction of exceptions. In addition to the SPS activation case, other cases such as Scell dormancy have been identified for which similar exceptions would be required.</w:t>
      </w:r>
    </w:p>
    <w:p w14:paraId="77BF60F9" w14:textId="76F884B8" w:rsidR="005D68D9" w:rsidRPr="00DB5F14" w:rsidRDefault="00DA6E38" w:rsidP="003B3457">
      <w:pPr>
        <w:pStyle w:val="Proposal"/>
      </w:pPr>
      <w:bookmarkStart w:id="14" w:name="_Toc87031493"/>
      <w:r>
        <w:t xml:space="preserve">For SPS activation, </w:t>
      </w:r>
      <w:r w:rsidR="00DB5F14">
        <w:t xml:space="preserve">HARQ feedback </w:t>
      </w:r>
      <w:r>
        <w:t xml:space="preserve">is not sent if </w:t>
      </w:r>
      <w:r w:rsidR="00DB5F14">
        <w:t xml:space="preserve">the </w:t>
      </w:r>
      <w:r>
        <w:t xml:space="preserve">network has disabled HARQ feedback for the </w:t>
      </w:r>
      <w:r w:rsidR="00B518E6">
        <w:t xml:space="preserve">used </w:t>
      </w:r>
      <w:r>
        <w:t>HARQ process.</w:t>
      </w:r>
      <w:bookmarkEnd w:id="14"/>
    </w:p>
    <w:p w14:paraId="5F744280" w14:textId="12A6F8F3" w:rsidR="00B84FEC" w:rsidRDefault="00B84FEC" w:rsidP="00B84FEC">
      <w:pPr>
        <w:pStyle w:val="Heading1"/>
        <w:rPr>
          <w:rFonts w:cs="Arial"/>
        </w:rPr>
      </w:pPr>
      <w:r>
        <w:rPr>
          <w:rFonts w:cs="Arial"/>
        </w:rPr>
        <w:t>Combination of HARQ retransmissions with disabled feedback</w:t>
      </w:r>
    </w:p>
    <w:p w14:paraId="2AA94C3C" w14:textId="04ABA459" w:rsidR="000239A5" w:rsidRDefault="00D65D4C" w:rsidP="003B3457">
      <w:r>
        <w:t xml:space="preserve">At RAN1#106b-e, </w:t>
      </w:r>
      <w:r w:rsidR="00AD7F31">
        <w:t xml:space="preserve">the capability of the UE to combine HARQ </w:t>
      </w:r>
      <w:r w:rsidR="00AD7F31" w:rsidRPr="00362321">
        <w:t>retransmissions</w:t>
      </w:r>
      <w:r w:rsidR="00AD7F31">
        <w:t xml:space="preserve"> of a feedback-disabled HARQ process </w:t>
      </w:r>
      <w:r>
        <w:t xml:space="preserve">was </w:t>
      </w:r>
      <w:r w:rsidR="00AD7F31">
        <w:t>discussed.</w:t>
      </w:r>
    </w:p>
    <w:p w14:paraId="451B7C2B" w14:textId="28B941DF" w:rsidR="000239A5" w:rsidRDefault="00AD7F31" w:rsidP="003B3457">
      <w:r>
        <w:t xml:space="preserve">At </w:t>
      </w:r>
      <w:r w:rsidRPr="00AD7F31">
        <w:t xml:space="preserve">RAN2#112-e </w:t>
      </w:r>
      <w:r>
        <w:t xml:space="preserve">, </w:t>
      </w:r>
      <w:r w:rsidR="003B4924">
        <w:t xml:space="preserve">RAN2 </w:t>
      </w:r>
      <w:r w:rsidR="003B4924" w:rsidRPr="00B84FEC">
        <w:t xml:space="preserve">agreed the </w:t>
      </w:r>
      <w:r>
        <w:t>following:</w:t>
      </w:r>
    </w:p>
    <w:p w14:paraId="5BE2559B" w14:textId="53D247DB" w:rsidR="000239A5" w:rsidRPr="000239A5" w:rsidRDefault="000239A5" w:rsidP="003B3457">
      <w:r>
        <w:t>”From a RAN2 perspective, for DL, HARQ feedback can be enabled/disabled in Rel-17 NTN, but HARQ processes remain configured. The criteria and decision to enable/disable HARQ feedback is under network control and is signalled to the UE via RRC in a semi-static manner.”</w:t>
      </w:r>
    </w:p>
    <w:p w14:paraId="6AF804C4" w14:textId="6E2822FD" w:rsidR="00B84FEC" w:rsidRDefault="000239A5" w:rsidP="003B3457">
      <w:r>
        <w:t xml:space="preserve">Note that it is the HARQ feedback that is disabled, not the HARQ process. </w:t>
      </w:r>
      <w:r w:rsidR="00B84FEC">
        <w:t xml:space="preserve">The capability of the UE to combine HARQ retransmissions </w:t>
      </w:r>
      <w:r w:rsidR="00B84FEC" w:rsidRPr="00B84FEC">
        <w:t xml:space="preserve">should not depend on whether </w:t>
      </w:r>
      <w:r w:rsidR="00AD7F31" w:rsidRPr="00AD7F31">
        <w:t>HARQ</w:t>
      </w:r>
      <w:r w:rsidR="00AD7F31">
        <w:t xml:space="preserve"> feedback</w:t>
      </w:r>
      <w:r w:rsidR="00AD7F31" w:rsidRPr="00AD7F31">
        <w:t xml:space="preserve"> is enabled or disabled</w:t>
      </w:r>
      <w:r w:rsidR="00AD7F31">
        <w:t>,</w:t>
      </w:r>
      <w:r w:rsidR="00AD7F31" w:rsidRPr="00AD7F31">
        <w:t xml:space="preserve"> or </w:t>
      </w:r>
      <w:r w:rsidR="00B84FEC" w:rsidRPr="00B84FEC">
        <w:t xml:space="preserve">retransmissions are sent blindly or </w:t>
      </w:r>
      <w:r w:rsidR="00B84FEC">
        <w:t xml:space="preserve">sent </w:t>
      </w:r>
      <w:r w:rsidR="00B84FEC" w:rsidRPr="00B84FEC">
        <w:t xml:space="preserve">based on HARQ feedback. </w:t>
      </w:r>
    </w:p>
    <w:p w14:paraId="4AAD07CE" w14:textId="0BE1BD4E" w:rsidR="00AD7F31" w:rsidRPr="00B84FEC" w:rsidRDefault="00F543BF" w:rsidP="003B3457">
      <w:r>
        <w:t>Also</w:t>
      </w:r>
      <w:r w:rsidR="003B4924" w:rsidRPr="00B84FEC">
        <w:t xml:space="preserve">, </w:t>
      </w:r>
      <w:r w:rsidR="00AD7F31" w:rsidRPr="00B84FEC">
        <w:t>feedback-enabling/disabling is configured by the network</w:t>
      </w:r>
      <w:r w:rsidR="00AD7F31">
        <w:t>. T</w:t>
      </w:r>
      <w:r w:rsidR="003B4924" w:rsidRPr="00B84FEC">
        <w:t>he UE must support the case that all HARQ processes are feedback-enabled, i.e., have sufficient soft-buffer for all HARQ processes. Thus, there is no benefit in not using the soft-buffer for feedback-disabled HARQ processes.</w:t>
      </w:r>
    </w:p>
    <w:p w14:paraId="015CD0E6" w14:textId="053245A6" w:rsidR="00B84FEC" w:rsidRDefault="00B84FEC" w:rsidP="003B3457">
      <w:pPr>
        <w:pStyle w:val="Observation"/>
      </w:pPr>
      <w:bookmarkStart w:id="15" w:name="_Toc87031484"/>
      <w:r>
        <w:t>Since f</w:t>
      </w:r>
      <w:r w:rsidRPr="00B84FEC">
        <w:t>eedback-enabling/disabling of HARQ processes is configured by the networ</w:t>
      </w:r>
      <w:r>
        <w:t>k, t</w:t>
      </w:r>
      <w:r w:rsidRPr="00B84FEC">
        <w:t xml:space="preserve">he UE must support the case that all HARQ processes are feedback-enabled, i.e., have sufficient soft-buffer for all HARQ processes. Thus, there is no benefit in not using the soft-buffer </w:t>
      </w:r>
      <w:r w:rsidR="00F543BF">
        <w:t xml:space="preserve">if HARQ retransmissions are sent </w:t>
      </w:r>
      <w:r w:rsidRPr="00B84FEC">
        <w:t>for feedback-disabled HARQ processes.</w:t>
      </w:r>
      <w:bookmarkEnd w:id="15"/>
    </w:p>
    <w:p w14:paraId="66215BF4" w14:textId="32AFE700" w:rsidR="00B84FEC" w:rsidRDefault="00AD7F31" w:rsidP="003B3457">
      <w:pPr>
        <w:pStyle w:val="Observation"/>
      </w:pPr>
      <w:bookmarkStart w:id="16" w:name="_Toc87031485"/>
      <w:r>
        <w:t>Even if HARQ feedback is disabled by the network, the HARQ process remains configured and HARQ retransmissions may occur.</w:t>
      </w:r>
      <w:bookmarkEnd w:id="16"/>
    </w:p>
    <w:p w14:paraId="5C98F3E8" w14:textId="103E8330" w:rsidR="00AD7F31" w:rsidRDefault="00AD7F31" w:rsidP="003B3457">
      <w:pPr>
        <w:pStyle w:val="Proposal"/>
      </w:pPr>
      <w:bookmarkStart w:id="17" w:name="_Toc87031494"/>
      <w:r w:rsidRPr="00AC7227">
        <w:t>RAN1</w:t>
      </w:r>
      <w:r>
        <w:t xml:space="preserve"> should conclude that the configuration of HARQ feedback as enabled or disabled does not impact the UE capability to buffer and combine HARQ retransmissions.</w:t>
      </w:r>
      <w:bookmarkEnd w:id="17"/>
    </w:p>
    <w:p w14:paraId="41505D0C" w14:textId="0180F047" w:rsidR="00F95BE7" w:rsidRDefault="00F95BE7" w:rsidP="00F95BE7">
      <w:pPr>
        <w:pStyle w:val="Heading1"/>
      </w:pPr>
      <w:r>
        <w:t>Performance enhancement</w:t>
      </w:r>
    </w:p>
    <w:p w14:paraId="4A7C5B56" w14:textId="4C2C4C23" w:rsidR="00F10CED" w:rsidRDefault="00F95BE7" w:rsidP="003B3457">
      <w:r>
        <w:t xml:space="preserve">It has been proposed to support aggregation factor 16 or 32 for PDSCH. However, simulations </w:t>
      </w:r>
      <w:r w:rsidR="002D7139">
        <w:t xml:space="preserve">in </w:t>
      </w:r>
      <w:r w:rsidR="00706F46">
        <w:fldChar w:fldCharType="begin"/>
      </w:r>
      <w:r w:rsidR="00706F46">
        <w:instrText xml:space="preserve"> REF _Ref86230282 \r \h </w:instrText>
      </w:r>
      <w:r w:rsidR="00706F46">
        <w:fldChar w:fldCharType="separate"/>
      </w:r>
      <w:r w:rsidR="00570DDB">
        <w:t>[5]</w:t>
      </w:r>
      <w:r w:rsidR="00706F46">
        <w:fldChar w:fldCharType="end"/>
      </w:r>
      <w:r w:rsidR="002D7139">
        <w:t xml:space="preserve"> show </w:t>
      </w:r>
      <w:r w:rsidR="002D7139" w:rsidRPr="002D7139">
        <w:t>that with low SE MCS table, AF=8 is sufficient even if BLER target is as low as 0.1%. Support for lower BLER target than 0.1% does not seem justified.</w:t>
      </w:r>
    </w:p>
    <w:p w14:paraId="0C078FDB" w14:textId="5950646D" w:rsidR="002D7139" w:rsidRDefault="009A455C" w:rsidP="003B3457">
      <w:r w:rsidRPr="002D7139">
        <w:t xml:space="preserve">Further, the PDSCH is not </w:t>
      </w:r>
      <w:r>
        <w:t xml:space="preserve">necessarily </w:t>
      </w:r>
      <w:r w:rsidRPr="002D7139">
        <w:t>the bottleneck for coverage.</w:t>
      </w:r>
      <w:r>
        <w:t xml:space="preserve"> </w:t>
      </w:r>
      <w:r w:rsidR="00F10CED">
        <w:t>Coverage enhancement, including repetition enhancements</w:t>
      </w:r>
      <w:r w:rsidR="007D0454">
        <w:t xml:space="preserve"> and other enhancements</w:t>
      </w:r>
      <w:r w:rsidR="00F10CED">
        <w:t xml:space="preserve">, </w:t>
      </w:r>
      <w:r>
        <w:t>has been</w:t>
      </w:r>
      <w:r w:rsidR="00F10CED">
        <w:t xml:space="preserve"> </w:t>
      </w:r>
      <w:r>
        <w:t>proposed</w:t>
      </w:r>
      <w:r w:rsidR="00F10CED">
        <w:t xml:space="preserve"> </w:t>
      </w:r>
      <w:r>
        <w:t xml:space="preserve">in RAN plenary </w:t>
      </w:r>
      <w:r w:rsidR="00F10CED">
        <w:t xml:space="preserve">for </w:t>
      </w:r>
      <w:r>
        <w:t xml:space="preserve">an </w:t>
      </w:r>
      <w:r w:rsidR="00F10CED">
        <w:t>NR NTN evolution WI in Rel-18</w:t>
      </w:r>
      <w:r w:rsidR="00362321">
        <w:t xml:space="preserve"> </w:t>
      </w:r>
      <w:r w:rsidR="00362321">
        <w:fldChar w:fldCharType="begin"/>
      </w:r>
      <w:r w:rsidR="00362321">
        <w:instrText xml:space="preserve"> REF _Ref86867926 \r \h </w:instrText>
      </w:r>
      <w:r w:rsidR="00362321">
        <w:fldChar w:fldCharType="separate"/>
      </w:r>
      <w:r w:rsidR="00570DDB">
        <w:t>[2]</w:t>
      </w:r>
      <w:r w:rsidR="00362321">
        <w:fldChar w:fldCharType="end"/>
      </w:r>
      <w:r w:rsidR="00F10CED">
        <w:t xml:space="preserve">. </w:t>
      </w:r>
      <w:r w:rsidR="007D0454">
        <w:t xml:space="preserve">It is premature to single out one specific enhancement for one specific channel </w:t>
      </w:r>
      <w:r>
        <w:t xml:space="preserve">in Rel-17 </w:t>
      </w:r>
      <w:r w:rsidR="007D0454">
        <w:t>without proper evaluation of the system level impact on coverage.</w:t>
      </w:r>
      <w:r w:rsidR="004A0745">
        <w:t xml:space="preserve"> </w:t>
      </w:r>
      <w:r w:rsidR="00DD63B4">
        <w:t>Theref</w:t>
      </w:r>
      <w:r w:rsidR="00EF4276">
        <w:t>o</w:t>
      </w:r>
      <w:r w:rsidR="00DD63B4">
        <w:t>re</w:t>
      </w:r>
      <w:r w:rsidR="004A0745">
        <w:t>,</w:t>
      </w:r>
      <w:r w:rsidR="00DD63B4">
        <w:t xml:space="preserve"> w</w:t>
      </w:r>
      <w:r w:rsidR="00DD63B4" w:rsidRPr="002D7139">
        <w:t xml:space="preserve">e do not </w:t>
      </w:r>
      <w:r w:rsidR="007D0454">
        <w:t xml:space="preserve">support </w:t>
      </w:r>
      <w:r w:rsidR="00DD63B4" w:rsidRPr="002D7139">
        <w:t>this enhancemen</w:t>
      </w:r>
      <w:r w:rsidR="00F10CED">
        <w:t>t in Rel-17</w:t>
      </w:r>
      <w:r w:rsidR="00DD63B4" w:rsidRPr="002D7139">
        <w:t>.</w:t>
      </w:r>
    </w:p>
    <w:p w14:paraId="5B98BA2D" w14:textId="09475EC2" w:rsidR="00EF4276" w:rsidRDefault="00EF4276" w:rsidP="003B3457">
      <w:pPr>
        <w:pStyle w:val="Observation"/>
      </w:pPr>
      <w:bookmarkStart w:id="18" w:name="_Toc87031486"/>
      <w:r>
        <w:t>Increased aggregation factor for PDSCH has not been justified.</w:t>
      </w:r>
      <w:bookmarkEnd w:id="18"/>
    </w:p>
    <w:p w14:paraId="52087E33" w14:textId="6B79407E" w:rsidR="00EF4276" w:rsidRDefault="00EF4276" w:rsidP="003B3457">
      <w:pPr>
        <w:pStyle w:val="Proposal"/>
      </w:pPr>
      <w:bookmarkStart w:id="19" w:name="_Toc87031495"/>
      <w:r>
        <w:t>Do not increase the aggregation factor for PDSCH.</w:t>
      </w:r>
      <w:bookmarkEnd w:id="19"/>
    </w:p>
    <w:p w14:paraId="170675FA" w14:textId="77777777" w:rsidR="00DD63B4" w:rsidRPr="00B84FEC" w:rsidRDefault="00DD63B4" w:rsidP="003B3457"/>
    <w:p w14:paraId="305F8FFF" w14:textId="77777777" w:rsidR="00637AB2" w:rsidRDefault="00637AB2" w:rsidP="00637AB2">
      <w:pPr>
        <w:pStyle w:val="Heading1"/>
      </w:pPr>
      <w:r>
        <w:t>RRC parameters</w:t>
      </w:r>
    </w:p>
    <w:p w14:paraId="68004212" w14:textId="61BAD94E" w:rsidR="00637AB2" w:rsidRDefault="00637AB2" w:rsidP="003B3457">
      <w:r w:rsidRPr="005E1891">
        <w:t xml:space="preserve">The outcome of the intial discussion on RRC parameters related to HARQ enhancements is summarized in </w:t>
      </w:r>
      <w:r w:rsidRPr="005E1891">
        <w:fldChar w:fldCharType="begin"/>
      </w:r>
      <w:r w:rsidRPr="005E1891">
        <w:instrText xml:space="preserve"> REF _Ref83994395 \r \h </w:instrText>
      </w:r>
      <w:r w:rsidR="005E1891" w:rsidRPr="005E1891">
        <w:instrText xml:space="preserve"> \* MERGEFORMAT </w:instrText>
      </w:r>
      <w:r w:rsidRPr="005E1891">
        <w:fldChar w:fldCharType="separate"/>
      </w:r>
      <w:r w:rsidR="00570DDB">
        <w:t>[4]</w:t>
      </w:r>
      <w:r w:rsidRPr="005E1891">
        <w:fldChar w:fldCharType="end"/>
      </w:r>
      <w:r w:rsidRPr="005E1891">
        <w:t xml:space="preserve">. </w:t>
      </w:r>
    </w:p>
    <w:p w14:paraId="1DF69C0D" w14:textId="2C6E9281" w:rsidR="003666B0" w:rsidRPr="003666B0" w:rsidRDefault="003666B0" w:rsidP="005F73C7">
      <w:pPr>
        <w:jc w:val="both"/>
        <w:rPr>
          <w:rFonts w:ascii="Times New Roman" w:hAnsi="Times New Roman" w:cs="Calibri"/>
        </w:rPr>
      </w:pPr>
      <w:r>
        <w:t xml:space="preserve">Several companies are proposing in the UE capability discussion to have separate DL and UL capabilities for 32 HARQ processes in NR NTN. </w:t>
      </w:r>
      <w:r w:rsidRPr="004065BE">
        <w:t xml:space="preserve">Given this, we strongly recommend adding </w:t>
      </w:r>
      <w:r w:rsidR="004065BE" w:rsidRPr="004065BE">
        <w:t xml:space="preserve">an </w:t>
      </w:r>
      <w:r w:rsidRPr="004065BE">
        <w:t>RRC parameter “nrofHARQ-ProcessesForPUSCH-r17”, to respect the RAN2 guideline</w:t>
      </w:r>
      <w:r w:rsidR="004065BE">
        <w:t xml:space="preserve"> (as documented in </w:t>
      </w:r>
      <w:r w:rsidR="004065BE">
        <w:fldChar w:fldCharType="begin"/>
      </w:r>
      <w:r w:rsidR="004065BE">
        <w:instrText xml:space="preserve"> REF _Ref83273940 \r \h </w:instrText>
      </w:r>
      <w:r w:rsidR="004065BE">
        <w:fldChar w:fldCharType="separate"/>
      </w:r>
      <w:r w:rsidR="00570DDB">
        <w:t>[3]</w:t>
      </w:r>
      <w:r w:rsidR="004065BE">
        <w:fldChar w:fldCharType="end"/>
      </w:r>
      <w:r w:rsidR="004065BE">
        <w:t xml:space="preserve"> and copied below)</w:t>
      </w:r>
      <w:r w:rsidRPr="004065BE">
        <w:t>:</w:t>
      </w:r>
    </w:p>
    <w:p w14:paraId="18CD671B" w14:textId="77777777" w:rsidR="003666B0" w:rsidRPr="003F4A0D" w:rsidRDefault="003666B0" w:rsidP="003F4A0D">
      <w:pPr>
        <w:ind w:left="567"/>
        <w:rPr>
          <w:b/>
          <w:bCs/>
        </w:rPr>
      </w:pPr>
      <w:r w:rsidRPr="003F4A0D">
        <w:rPr>
          <w:b/>
          <w:bCs/>
        </w:rPr>
        <w:t>5          Avoid defining functionality that has no RRC configuration but is dependent on capability bits.</w:t>
      </w:r>
    </w:p>
    <w:p w14:paraId="1AF93C1F" w14:textId="77777777" w:rsidR="003666B0" w:rsidRDefault="003666B0" w:rsidP="003F4A0D">
      <w:pPr>
        <w:ind w:left="567"/>
      </w:pPr>
      <w: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0976483C" w14:textId="2C205323" w:rsidR="003666B0" w:rsidRDefault="004065BE" w:rsidP="003B3457">
      <w:pPr>
        <w:pStyle w:val="Proposal"/>
      </w:pPr>
      <w:bookmarkStart w:id="20" w:name="_Toc87031496"/>
      <w:r>
        <w:t xml:space="preserve">Add RRC parameter </w:t>
      </w:r>
      <w:r w:rsidRPr="004065BE">
        <w:t>nrofHARQ-ProcessesForPUSCH-r17</w:t>
      </w:r>
      <w:r>
        <w:t xml:space="preserve"> indicating t</w:t>
      </w:r>
      <w:r w:rsidRPr="004065BE">
        <w:t>he number of HARQ processes to be used on the P</w:t>
      </w:r>
      <w:r>
        <w:t>U</w:t>
      </w:r>
      <w:r w:rsidRPr="004065BE">
        <w:t>SCH of a serving cell</w:t>
      </w:r>
      <w:r w:rsidR="00FF20EB">
        <w:t xml:space="preserve"> if separate UE capabilities are defined for supported number of HARQ processes in UL and DL.</w:t>
      </w:r>
      <w:bookmarkEnd w:id="20"/>
    </w:p>
    <w:p w14:paraId="28ACE2DB" w14:textId="74B517F1" w:rsidR="002F0CE3" w:rsidRDefault="002F0CE3" w:rsidP="003B3457">
      <w:pPr>
        <w:rPr>
          <w:rFonts w:ascii="Times New Roman" w:eastAsia="Times New Roman" w:hAnsi="Times New Roman" w:cs="Times New Roman"/>
          <w:color w:val="000000"/>
          <w:lang w:eastAsia="sv-SE"/>
        </w:rPr>
      </w:pPr>
      <w:r>
        <w:t xml:space="preserve">For the parameters indicating the size of the HARQ process ID field in DCI formats 0_1 and 1_1 – </w:t>
      </w:r>
      <w:r w:rsidRPr="002F0CE3">
        <w:t>HARQ-ProcessNumberSizeDCI-0-1-r17</w:t>
      </w:r>
      <w:r>
        <w:t xml:space="preserve"> and </w:t>
      </w:r>
      <w:r w:rsidRPr="002F0CE3">
        <w:rPr>
          <w:rFonts w:ascii="Times New Roman" w:eastAsia="Times New Roman" w:hAnsi="Times New Roman" w:cs="Times New Roman"/>
          <w:color w:val="000000"/>
          <w:lang w:eastAsia="sv-SE"/>
        </w:rPr>
        <w:t>HARQ-ProcessNumberSizeDCI-</w:t>
      </w:r>
      <w:r>
        <w:rPr>
          <w:rFonts w:ascii="Times New Roman" w:eastAsia="Times New Roman" w:hAnsi="Times New Roman" w:cs="Times New Roman"/>
          <w:color w:val="000000"/>
          <w:lang w:eastAsia="sv-SE"/>
        </w:rPr>
        <w:t>1</w:t>
      </w:r>
      <w:r w:rsidRPr="002F0CE3">
        <w:rPr>
          <w:rFonts w:ascii="Times New Roman" w:eastAsia="Times New Roman" w:hAnsi="Times New Roman" w:cs="Times New Roman"/>
          <w:color w:val="000000"/>
          <w:lang w:eastAsia="sv-SE"/>
        </w:rPr>
        <w:t>-1-r17</w:t>
      </w:r>
      <w:r>
        <w:rPr>
          <w:rFonts w:ascii="Times New Roman" w:eastAsia="Times New Roman" w:hAnsi="Times New Roman" w:cs="Times New Roman"/>
          <w:color w:val="000000"/>
          <w:lang w:eastAsia="sv-SE"/>
        </w:rPr>
        <w:t>, the value range is said to be 0..5. However, the agreement for DCI format 0_1 and 1_1</w:t>
      </w:r>
      <w:r w:rsidR="006E6E3F">
        <w:rPr>
          <w:rFonts w:ascii="Times New Roman" w:eastAsia="Times New Roman" w:hAnsi="Times New Roman" w:cs="Times New Roman"/>
          <w:color w:val="000000"/>
          <w:lang w:eastAsia="sv-SE"/>
        </w:rPr>
        <w:t xml:space="preserve"> is only to extend the size up to 5 bits, and since the current field is fixed to 4 bits, the value range should be </w:t>
      </w:r>
      <w:r w:rsidR="00F5570E">
        <w:rPr>
          <w:rFonts w:ascii="Times New Roman" w:eastAsia="Times New Roman" w:hAnsi="Times New Roman" w:cs="Times New Roman"/>
          <w:color w:val="000000"/>
          <w:lang w:eastAsia="sv-SE"/>
        </w:rPr>
        <w:t>{</w:t>
      </w:r>
      <w:r w:rsidR="006E6E3F">
        <w:rPr>
          <w:rFonts w:ascii="Times New Roman" w:eastAsia="Times New Roman" w:hAnsi="Times New Roman" w:cs="Times New Roman"/>
          <w:color w:val="000000"/>
          <w:lang w:eastAsia="sv-SE"/>
        </w:rPr>
        <w:t>4</w:t>
      </w:r>
      <w:r w:rsidR="00F5570E">
        <w:rPr>
          <w:rFonts w:ascii="Times New Roman" w:eastAsia="Times New Roman" w:hAnsi="Times New Roman" w:cs="Times New Roman"/>
          <w:color w:val="000000"/>
          <w:lang w:eastAsia="sv-SE"/>
        </w:rPr>
        <w:t>,5}.</w:t>
      </w:r>
    </w:p>
    <w:p w14:paraId="62646F29" w14:textId="0CA80A9F" w:rsidR="00F5570E" w:rsidRDefault="00397B9B" w:rsidP="003B3457">
      <w:pPr>
        <w:pStyle w:val="Proposal"/>
      </w:pPr>
      <w:bookmarkStart w:id="21" w:name="_Toc87031497"/>
      <w:r>
        <w:t xml:space="preserve">For RRC parameters </w:t>
      </w:r>
      <w:r w:rsidRPr="00397B9B">
        <w:t>HARQ-ProcessNumberSizeDCI-0-1-r17 and HARQ-ProcessNumberSizeDCI-1-1-r17</w:t>
      </w:r>
      <w:r>
        <w:t>, the value range should be {4,5}.</w:t>
      </w:r>
      <w:bookmarkEnd w:id="21"/>
    </w:p>
    <w:p w14:paraId="5300F849" w14:textId="0369EF7C" w:rsidR="00C01F33" w:rsidRPr="007A1806" w:rsidRDefault="00C01F33" w:rsidP="00A61576">
      <w:pPr>
        <w:pStyle w:val="Heading1"/>
        <w:rPr>
          <w:rFonts w:cs="Arial"/>
        </w:rPr>
      </w:pPr>
      <w:r w:rsidRPr="007A1806">
        <w:rPr>
          <w:rFonts w:cs="Arial"/>
        </w:rPr>
        <w:t>Conclusion</w:t>
      </w:r>
    </w:p>
    <w:p w14:paraId="5457A0DE" w14:textId="1232075E" w:rsidR="00EC6B83" w:rsidRPr="007A1806" w:rsidRDefault="00F03DAF" w:rsidP="003B3457">
      <w:pPr>
        <w:rPr>
          <w:b/>
          <w:bCs/>
        </w:rPr>
      </w:pPr>
      <w:r w:rsidRPr="007A1806">
        <w:t>In the previous sections</w:t>
      </w:r>
      <w:r w:rsidR="00C836D8" w:rsidRPr="007A1806">
        <w:t xml:space="preserve">, we </w:t>
      </w:r>
      <w:r w:rsidR="00D6223C" w:rsidRPr="007A1806">
        <w:t xml:space="preserve">discuss </w:t>
      </w:r>
      <w:r w:rsidR="00A80F2A" w:rsidRPr="007A1806">
        <w:t>HARQ</w:t>
      </w:r>
      <w:r w:rsidR="007434CD" w:rsidRPr="007A1806">
        <w:t xml:space="preserve"> enhancements for NTN</w:t>
      </w:r>
      <w:r w:rsidR="0053334B" w:rsidRPr="007A1806">
        <w:t xml:space="preserve">. </w:t>
      </w:r>
      <w:r w:rsidR="00D6223C" w:rsidRPr="007A1806">
        <w:t>W</w:t>
      </w:r>
      <w:r w:rsidR="009F06A5" w:rsidRPr="007A1806">
        <w:t>e made the following observations:</w:t>
      </w:r>
      <w:r w:rsidR="009F06A5" w:rsidRPr="007A1806">
        <w:rPr>
          <w:b/>
          <w:bCs/>
        </w:rPr>
        <w:t xml:space="preserve"> </w:t>
      </w:r>
    </w:p>
    <w:p w14:paraId="62BF1CA3" w14:textId="77777777" w:rsidR="00570DDB" w:rsidRDefault="009F06A5">
      <w:pPr>
        <w:pStyle w:val="TableofFigures"/>
        <w:tabs>
          <w:tab w:val="right" w:leader="dot" w:pos="9629"/>
        </w:tabs>
        <w:rPr>
          <w:rFonts w:eastAsiaTheme="minorEastAsia"/>
          <w:b w:val="0"/>
          <w:noProof/>
          <w:lang w:eastAsia="sv-SE"/>
        </w:rPr>
      </w:pPr>
      <w:r w:rsidRPr="007A1806">
        <w:rPr>
          <w:rFonts w:ascii="Arial" w:hAnsi="Arial" w:cs="Arial"/>
          <w:bCs/>
        </w:rPr>
        <w:fldChar w:fldCharType="begin"/>
      </w:r>
      <w:r w:rsidRPr="007A1806">
        <w:rPr>
          <w:rFonts w:ascii="Arial" w:hAnsi="Arial" w:cs="Arial"/>
          <w:bCs/>
        </w:rPr>
        <w:instrText xml:space="preserve"> TOC \f O \n \h \z \t "Observation" \c </w:instrText>
      </w:r>
      <w:r w:rsidRPr="007A1806">
        <w:rPr>
          <w:rFonts w:ascii="Arial" w:hAnsi="Arial" w:cs="Arial"/>
          <w:bCs/>
        </w:rPr>
        <w:fldChar w:fldCharType="separate"/>
      </w:r>
      <w:hyperlink w:anchor="_Toc87031479" w:history="1">
        <w:r w:rsidR="00570DDB" w:rsidRPr="00EE0A4B">
          <w:rPr>
            <w:rStyle w:val="Hyperlink"/>
            <w:noProof/>
          </w:rPr>
          <w:t>Observation 1</w:t>
        </w:r>
        <w:r w:rsidR="00570DDB">
          <w:rPr>
            <w:rFonts w:eastAsiaTheme="minorEastAsia"/>
            <w:b w:val="0"/>
            <w:noProof/>
            <w:lang w:eastAsia="sv-SE"/>
          </w:rPr>
          <w:tab/>
        </w:r>
        <w:r w:rsidR="00570DDB" w:rsidRPr="00EE0A4B">
          <w:rPr>
            <w:rStyle w:val="Hyperlink"/>
            <w:noProof/>
          </w:rPr>
          <w:t>If DCI scheduling feedback-enabled DL HARQ processes is transmitted but no Type-1 HARQ codebook is transmitted by the UE, the network can interpret that as implicit NACK for the feedback-enabled HARQ processes.</w:t>
        </w:r>
      </w:hyperlink>
    </w:p>
    <w:p w14:paraId="58BA876F" w14:textId="77777777" w:rsidR="00570DDB" w:rsidRDefault="00570DDB">
      <w:pPr>
        <w:pStyle w:val="TableofFigures"/>
        <w:tabs>
          <w:tab w:val="right" w:leader="dot" w:pos="9629"/>
        </w:tabs>
        <w:rPr>
          <w:rFonts w:eastAsiaTheme="minorEastAsia"/>
          <w:b w:val="0"/>
          <w:noProof/>
          <w:lang w:eastAsia="sv-SE"/>
        </w:rPr>
      </w:pPr>
      <w:hyperlink w:anchor="_Toc87031480" w:history="1">
        <w:r w:rsidRPr="00EE0A4B">
          <w:rPr>
            <w:rStyle w:val="Hyperlink"/>
            <w:noProof/>
          </w:rPr>
          <w:t>Observation 2</w:t>
        </w:r>
        <w:r>
          <w:rPr>
            <w:rFonts w:eastAsiaTheme="minorEastAsia"/>
            <w:b w:val="0"/>
            <w:noProof/>
            <w:lang w:eastAsia="sv-SE"/>
          </w:rPr>
          <w:tab/>
        </w:r>
        <w:r w:rsidRPr="00EE0A4B">
          <w:rPr>
            <w:rStyle w:val="Hyperlink"/>
            <w:noProof/>
          </w:rPr>
          <w:t>RAN1 already agreed that Type-3 HARQ codebook can be applied in licensed spectrum.</w:t>
        </w:r>
      </w:hyperlink>
    </w:p>
    <w:p w14:paraId="06EA8E96" w14:textId="77777777" w:rsidR="00570DDB" w:rsidRDefault="00570DDB">
      <w:pPr>
        <w:pStyle w:val="TableofFigures"/>
        <w:tabs>
          <w:tab w:val="right" w:leader="dot" w:pos="9629"/>
        </w:tabs>
        <w:rPr>
          <w:rFonts w:eastAsiaTheme="minorEastAsia"/>
          <w:b w:val="0"/>
          <w:noProof/>
          <w:lang w:eastAsia="sv-SE"/>
        </w:rPr>
      </w:pPr>
      <w:hyperlink w:anchor="_Toc87031481" w:history="1">
        <w:r w:rsidRPr="00EE0A4B">
          <w:rPr>
            <w:rStyle w:val="Hyperlink"/>
            <w:noProof/>
          </w:rPr>
          <w:t>Observation 3</w:t>
        </w:r>
        <w:r>
          <w:rPr>
            <w:rFonts w:eastAsiaTheme="minorEastAsia"/>
            <w:b w:val="0"/>
            <w:noProof/>
            <w:lang w:eastAsia="sv-SE"/>
          </w:rPr>
          <w:tab/>
        </w:r>
        <w:r w:rsidRPr="00EE0A4B">
          <w:rPr>
            <w:rStyle w:val="Hyperlink"/>
            <w:noProof/>
          </w:rPr>
          <w:t>NR is a toolbox of features. Each feature should not be limited to a certain use case or deployment and it is up to implementation to use it as fit.</w:t>
        </w:r>
      </w:hyperlink>
    </w:p>
    <w:p w14:paraId="6F6CBB20" w14:textId="77777777" w:rsidR="00570DDB" w:rsidRDefault="00570DDB">
      <w:pPr>
        <w:pStyle w:val="TableofFigures"/>
        <w:tabs>
          <w:tab w:val="right" w:leader="dot" w:pos="9629"/>
        </w:tabs>
        <w:rPr>
          <w:rFonts w:eastAsiaTheme="minorEastAsia"/>
          <w:b w:val="0"/>
          <w:noProof/>
          <w:lang w:eastAsia="sv-SE"/>
        </w:rPr>
      </w:pPr>
      <w:hyperlink w:anchor="_Toc87031482" w:history="1">
        <w:r w:rsidRPr="00EE0A4B">
          <w:rPr>
            <w:rStyle w:val="Hyperlink"/>
            <w:noProof/>
          </w:rPr>
          <w:t>Observation 4</w:t>
        </w:r>
        <w:r>
          <w:rPr>
            <w:rFonts w:eastAsiaTheme="minorEastAsia"/>
            <w:b w:val="0"/>
            <w:noProof/>
            <w:lang w:eastAsia="sv-SE"/>
          </w:rPr>
          <w:tab/>
        </w:r>
        <w:r w:rsidRPr="00EE0A4B">
          <w:rPr>
            <w:rStyle w:val="Hyperlink"/>
            <w:noProof/>
          </w:rPr>
          <w:t>There should not be some artificial restriction that Type-3 HARQ codebook is not applicable to NTN.</w:t>
        </w:r>
      </w:hyperlink>
    </w:p>
    <w:p w14:paraId="3953A207" w14:textId="77777777" w:rsidR="00570DDB" w:rsidRDefault="00570DDB">
      <w:pPr>
        <w:pStyle w:val="TableofFigures"/>
        <w:tabs>
          <w:tab w:val="right" w:leader="dot" w:pos="9629"/>
        </w:tabs>
        <w:rPr>
          <w:rFonts w:eastAsiaTheme="minorEastAsia"/>
          <w:b w:val="0"/>
          <w:noProof/>
          <w:lang w:eastAsia="sv-SE"/>
        </w:rPr>
      </w:pPr>
      <w:hyperlink w:anchor="_Toc87031483" w:history="1">
        <w:r w:rsidRPr="00EE0A4B">
          <w:rPr>
            <w:rStyle w:val="Hyperlink"/>
            <w:noProof/>
          </w:rPr>
          <w:t>Observation 5</w:t>
        </w:r>
        <w:r>
          <w:rPr>
            <w:rFonts w:eastAsiaTheme="minorEastAsia"/>
            <w:b w:val="0"/>
            <w:noProof/>
            <w:lang w:eastAsia="sv-SE"/>
          </w:rPr>
          <w:tab/>
        </w:r>
        <w:r w:rsidRPr="00EE0A4B">
          <w:rPr>
            <w:rStyle w:val="Hyperlink"/>
            <w:noProof/>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587BB37E" w14:textId="77777777" w:rsidR="00570DDB" w:rsidRDefault="00570DDB">
      <w:pPr>
        <w:pStyle w:val="TableofFigures"/>
        <w:tabs>
          <w:tab w:val="right" w:leader="dot" w:pos="9629"/>
        </w:tabs>
        <w:rPr>
          <w:rFonts w:eastAsiaTheme="minorEastAsia"/>
          <w:b w:val="0"/>
          <w:noProof/>
          <w:lang w:eastAsia="sv-SE"/>
        </w:rPr>
      </w:pPr>
      <w:hyperlink w:anchor="_Toc87031484" w:history="1">
        <w:r w:rsidRPr="00EE0A4B">
          <w:rPr>
            <w:rStyle w:val="Hyperlink"/>
            <w:noProof/>
          </w:rPr>
          <w:t>Observation 6</w:t>
        </w:r>
        <w:r>
          <w:rPr>
            <w:rFonts w:eastAsiaTheme="minorEastAsia"/>
            <w:b w:val="0"/>
            <w:noProof/>
            <w:lang w:eastAsia="sv-SE"/>
          </w:rPr>
          <w:tab/>
        </w:r>
        <w:r w:rsidRPr="00EE0A4B">
          <w:rPr>
            <w:rStyle w:val="Hyperlink"/>
            <w:noProof/>
          </w:rPr>
          <w:t>Since feedback-enabling/disabling of HARQ processes is configured by the network, the UE must support the case that all HARQ processes are feedback-enabled, i.e., have sufficient soft-buffer for all HARQ processes. Thus, there is no benefit in not using the soft-buffer if HARQ retransmissions are sent for feedback-disabled HARQ processes.</w:t>
        </w:r>
      </w:hyperlink>
    </w:p>
    <w:p w14:paraId="1CA1D785" w14:textId="77777777" w:rsidR="00570DDB" w:rsidRDefault="00570DDB">
      <w:pPr>
        <w:pStyle w:val="TableofFigures"/>
        <w:tabs>
          <w:tab w:val="right" w:leader="dot" w:pos="9629"/>
        </w:tabs>
        <w:rPr>
          <w:rFonts w:eastAsiaTheme="minorEastAsia"/>
          <w:b w:val="0"/>
          <w:noProof/>
          <w:lang w:eastAsia="sv-SE"/>
        </w:rPr>
      </w:pPr>
      <w:hyperlink w:anchor="_Toc87031485" w:history="1">
        <w:r w:rsidRPr="00EE0A4B">
          <w:rPr>
            <w:rStyle w:val="Hyperlink"/>
            <w:noProof/>
          </w:rPr>
          <w:t>Observation 7</w:t>
        </w:r>
        <w:r>
          <w:rPr>
            <w:rFonts w:eastAsiaTheme="minorEastAsia"/>
            <w:b w:val="0"/>
            <w:noProof/>
            <w:lang w:eastAsia="sv-SE"/>
          </w:rPr>
          <w:tab/>
        </w:r>
        <w:r w:rsidRPr="00EE0A4B">
          <w:rPr>
            <w:rStyle w:val="Hyperlink"/>
            <w:noProof/>
          </w:rPr>
          <w:t>Even if HARQ feedback is disabled by the network, the HARQ process remains configured and HARQ retransmissions may occur.</w:t>
        </w:r>
      </w:hyperlink>
    </w:p>
    <w:p w14:paraId="07D5CEA1" w14:textId="77777777" w:rsidR="00570DDB" w:rsidRDefault="00570DDB">
      <w:pPr>
        <w:pStyle w:val="TableofFigures"/>
        <w:tabs>
          <w:tab w:val="right" w:leader="dot" w:pos="9629"/>
        </w:tabs>
        <w:rPr>
          <w:rFonts w:eastAsiaTheme="minorEastAsia"/>
          <w:b w:val="0"/>
          <w:noProof/>
          <w:lang w:eastAsia="sv-SE"/>
        </w:rPr>
      </w:pPr>
      <w:hyperlink w:anchor="_Toc87031486" w:history="1">
        <w:r w:rsidRPr="00EE0A4B">
          <w:rPr>
            <w:rStyle w:val="Hyperlink"/>
            <w:noProof/>
          </w:rPr>
          <w:t>Observation 8</w:t>
        </w:r>
        <w:r>
          <w:rPr>
            <w:rFonts w:eastAsiaTheme="minorEastAsia"/>
            <w:b w:val="0"/>
            <w:noProof/>
            <w:lang w:eastAsia="sv-SE"/>
          </w:rPr>
          <w:tab/>
        </w:r>
        <w:r w:rsidRPr="00EE0A4B">
          <w:rPr>
            <w:rStyle w:val="Hyperlink"/>
            <w:noProof/>
          </w:rPr>
          <w:t>Increased aggregation factor for PDSCH has not been justified.</w:t>
        </w:r>
      </w:hyperlink>
    </w:p>
    <w:p w14:paraId="3FD31450" w14:textId="3064AAA4" w:rsidR="009F06A5" w:rsidRPr="007A1806" w:rsidRDefault="009F06A5" w:rsidP="003B3457">
      <w:pPr>
        <w:pStyle w:val="BodyText"/>
      </w:pPr>
      <w:r w:rsidRPr="007A1806">
        <w:fldChar w:fldCharType="end"/>
      </w:r>
    </w:p>
    <w:p w14:paraId="1FBF2552" w14:textId="77777777" w:rsidR="009F06A5" w:rsidRPr="007A1806" w:rsidRDefault="009F06A5" w:rsidP="003B3457">
      <w:pPr>
        <w:pStyle w:val="BodyText"/>
      </w:pPr>
      <w:r w:rsidRPr="007A1806">
        <w:t>Based on the discussion in the previous sections we propose the following:</w:t>
      </w:r>
    </w:p>
    <w:p w14:paraId="24B5F28B" w14:textId="77777777" w:rsidR="00570DDB" w:rsidRDefault="009F06A5">
      <w:pPr>
        <w:pStyle w:val="TableofFigures"/>
        <w:tabs>
          <w:tab w:val="right" w:leader="dot" w:pos="9629"/>
        </w:tabs>
        <w:rPr>
          <w:rFonts w:eastAsiaTheme="minorEastAsia"/>
          <w:b w:val="0"/>
          <w:noProof/>
          <w:lang w:eastAsia="sv-SE"/>
        </w:rPr>
      </w:pPr>
      <w:r w:rsidRPr="007A1806">
        <w:rPr>
          <w:rFonts w:ascii="Arial" w:hAnsi="Arial" w:cs="Arial"/>
          <w:bCs/>
        </w:rPr>
        <w:fldChar w:fldCharType="begin"/>
      </w:r>
      <w:r w:rsidRPr="007A1806">
        <w:rPr>
          <w:rFonts w:ascii="Arial" w:hAnsi="Arial" w:cs="Arial"/>
          <w:bCs/>
        </w:rPr>
        <w:instrText xml:space="preserve"> TOC \n \h \z \t "Proposal" \c </w:instrText>
      </w:r>
      <w:r w:rsidRPr="007A1806">
        <w:rPr>
          <w:rFonts w:ascii="Arial" w:hAnsi="Arial" w:cs="Arial"/>
          <w:bCs/>
        </w:rPr>
        <w:fldChar w:fldCharType="separate"/>
      </w:r>
      <w:hyperlink w:anchor="_Toc87031487" w:history="1">
        <w:r w:rsidR="00570DDB" w:rsidRPr="003040EC">
          <w:rPr>
            <w:rStyle w:val="Hyperlink"/>
            <w:noProof/>
          </w:rPr>
          <w:t>Proposal 1</w:t>
        </w:r>
        <w:r w:rsidR="00570DDB">
          <w:rPr>
            <w:rFonts w:eastAsiaTheme="minorEastAsia"/>
            <w:b w:val="0"/>
            <w:noProof/>
            <w:lang w:eastAsia="sv-SE"/>
          </w:rPr>
          <w:tab/>
        </w:r>
        <w:r w:rsidR="00570DDB" w:rsidRPr="003040EC">
          <w:rPr>
            <w:rStyle w:val="Hyperlink"/>
            <w:noProof/>
          </w:rPr>
          <w:t>RAN1 to discuss what parameters need to be configured differently for HARQ processes with feedback and HARQ processes without feedback. One example parameter is aggregation factor.</w:t>
        </w:r>
      </w:hyperlink>
    </w:p>
    <w:p w14:paraId="732677AA" w14:textId="77777777" w:rsidR="00570DDB" w:rsidRDefault="00570DDB">
      <w:pPr>
        <w:pStyle w:val="TableofFigures"/>
        <w:tabs>
          <w:tab w:val="right" w:leader="dot" w:pos="9629"/>
        </w:tabs>
        <w:rPr>
          <w:rFonts w:eastAsiaTheme="minorEastAsia"/>
          <w:b w:val="0"/>
          <w:noProof/>
          <w:lang w:eastAsia="sv-SE"/>
        </w:rPr>
      </w:pPr>
      <w:hyperlink w:anchor="_Toc87031488" w:history="1">
        <w:r w:rsidRPr="003040EC">
          <w:rPr>
            <w:rStyle w:val="Hyperlink"/>
            <w:noProof/>
          </w:rPr>
          <w:t>Proposal 2</w:t>
        </w:r>
        <w:r>
          <w:rPr>
            <w:rFonts w:eastAsiaTheme="minorEastAsia"/>
            <w:b w:val="0"/>
            <w:noProof/>
            <w:lang w:eastAsia="sv-SE"/>
          </w:rPr>
          <w:tab/>
        </w:r>
        <w:r w:rsidRPr="003040EC">
          <w:rPr>
            <w:rStyle w:val="Hyperlink"/>
            <w:noProof/>
          </w:rPr>
          <w:t>In case of Type-1 HARQ codebook, when the UE has not decoded DCI for a feedback-enabled HARQ process in any slot associated with the HARQ codebook, the UE omits sending the HARQ-ACK feedback when it is not multiplexed with other feedback in the same UCI.</w:t>
        </w:r>
      </w:hyperlink>
    </w:p>
    <w:p w14:paraId="25C9A54D" w14:textId="77777777" w:rsidR="00570DDB" w:rsidRDefault="00570DDB">
      <w:pPr>
        <w:pStyle w:val="TableofFigures"/>
        <w:tabs>
          <w:tab w:val="right" w:leader="dot" w:pos="9629"/>
        </w:tabs>
        <w:rPr>
          <w:rFonts w:eastAsiaTheme="minorEastAsia"/>
          <w:b w:val="0"/>
          <w:noProof/>
          <w:lang w:eastAsia="sv-SE"/>
        </w:rPr>
      </w:pPr>
      <w:hyperlink w:anchor="_Toc87031489" w:history="1">
        <w:r w:rsidRPr="003040EC">
          <w:rPr>
            <w:rStyle w:val="Hyperlink"/>
            <w:noProof/>
          </w:rPr>
          <w:t>Proposal 3</w:t>
        </w:r>
        <w:r>
          <w:rPr>
            <w:rFonts w:eastAsiaTheme="minorEastAsia"/>
            <w:b w:val="0"/>
            <w:noProof/>
            <w:lang w:eastAsia="sv-SE"/>
          </w:rPr>
          <w:tab/>
        </w:r>
        <w:r w:rsidRPr="003040EC">
          <w:rPr>
            <w:rStyle w:val="Hyperlink"/>
            <w:noProof/>
          </w:rPr>
          <w:t>In case of Type-1 HARQ codebook, when the UE has decoded DCI for both feedback-enabled and feedback-disabled HARQ process in slots associated with the same HARQ codebook ,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43D74E38" w14:textId="77777777" w:rsidR="00570DDB" w:rsidRDefault="00570DDB">
      <w:pPr>
        <w:pStyle w:val="TableofFigures"/>
        <w:tabs>
          <w:tab w:val="right" w:leader="dot" w:pos="9629"/>
        </w:tabs>
        <w:rPr>
          <w:rFonts w:eastAsiaTheme="minorEastAsia"/>
          <w:b w:val="0"/>
          <w:noProof/>
          <w:lang w:eastAsia="sv-SE"/>
        </w:rPr>
      </w:pPr>
      <w:hyperlink w:anchor="_Toc87031490" w:history="1">
        <w:r w:rsidRPr="003040EC">
          <w:rPr>
            <w:rStyle w:val="Hyperlink"/>
            <w:noProof/>
          </w:rPr>
          <w:t>Proposal 4</w:t>
        </w:r>
        <w:r>
          <w:rPr>
            <w:rFonts w:eastAsiaTheme="minorEastAsia"/>
            <w:b w:val="0"/>
            <w:noProof/>
            <w:lang w:eastAsia="sv-SE"/>
          </w:rPr>
          <w:tab/>
        </w:r>
        <w:r w:rsidRPr="003040EC">
          <w:rPr>
            <w:rStyle w:val="Hyperlink"/>
            <w:noProof/>
          </w:rPr>
          <w:t>In case of Type-2 HARQ codebook: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35E08C9E" w14:textId="77777777" w:rsidR="00570DDB" w:rsidRDefault="00570DDB">
      <w:pPr>
        <w:pStyle w:val="TableofFigures"/>
        <w:tabs>
          <w:tab w:val="right" w:leader="dot" w:pos="9629"/>
        </w:tabs>
        <w:rPr>
          <w:rFonts w:eastAsiaTheme="minorEastAsia"/>
          <w:b w:val="0"/>
          <w:noProof/>
          <w:lang w:eastAsia="sv-SE"/>
        </w:rPr>
      </w:pPr>
      <w:hyperlink w:anchor="_Toc87031491" w:history="1">
        <w:r w:rsidRPr="003040EC">
          <w:rPr>
            <w:rStyle w:val="Hyperlink"/>
            <w:noProof/>
          </w:rPr>
          <w:t>Proposal 5</w:t>
        </w:r>
        <w:r>
          <w:rPr>
            <w:rFonts w:eastAsiaTheme="minorEastAsia"/>
            <w:b w:val="0"/>
            <w:noProof/>
            <w:lang w:eastAsia="sv-SE"/>
          </w:rPr>
          <w:tab/>
        </w:r>
        <w:r w:rsidRPr="003040EC">
          <w:rPr>
            <w:rStyle w:val="Hyperlink"/>
            <w:noProof/>
          </w:rPr>
          <w:t>In the case of the NR Type-3 HARQ codebook, when HARQ processes are enabled/disabled on a per HARQ process basis, the codebook size is dimensioned to include ACK/NACK information only for HARQ processes that are enabled.</w:t>
        </w:r>
      </w:hyperlink>
    </w:p>
    <w:p w14:paraId="027F4DD0" w14:textId="77777777" w:rsidR="00570DDB" w:rsidRDefault="00570DDB">
      <w:pPr>
        <w:pStyle w:val="TableofFigures"/>
        <w:tabs>
          <w:tab w:val="right" w:leader="dot" w:pos="9629"/>
        </w:tabs>
        <w:rPr>
          <w:rFonts w:eastAsiaTheme="minorEastAsia"/>
          <w:b w:val="0"/>
          <w:noProof/>
          <w:lang w:eastAsia="sv-SE"/>
        </w:rPr>
      </w:pPr>
      <w:hyperlink w:anchor="_Toc87031492" w:history="1">
        <w:r w:rsidRPr="003040EC">
          <w:rPr>
            <w:rStyle w:val="Hyperlink"/>
            <w:noProof/>
          </w:rPr>
          <w:t>Proposal 6</w:t>
        </w:r>
        <w:r>
          <w:rPr>
            <w:rFonts w:eastAsiaTheme="minorEastAsia"/>
            <w:b w:val="0"/>
            <w:noProof/>
            <w:lang w:eastAsia="sv-SE"/>
          </w:rPr>
          <w:tab/>
        </w:r>
        <w:r w:rsidRPr="003040EC">
          <w:rPr>
            <w:rStyle w:val="Hyperlink"/>
            <w:noProof/>
          </w:rPr>
          <w:t>Regarding the “out-of-order restriction” for transmission of different HARQ processes corresponding to different PDSCHs, RAN1 to down-select between following alternatives: Alt-1: Preserve the same “out-of-order restriction” for (enabled) HARQ processes in specification for the disabled HARQ processes Alt-2: the “out-of-order restriction” for (enabled) HARQ processes does not apply to disabled HARQ processes.</w:t>
        </w:r>
      </w:hyperlink>
    </w:p>
    <w:p w14:paraId="68D8D1D1" w14:textId="77777777" w:rsidR="00570DDB" w:rsidRDefault="00570DDB">
      <w:pPr>
        <w:pStyle w:val="TableofFigures"/>
        <w:tabs>
          <w:tab w:val="right" w:leader="dot" w:pos="9629"/>
        </w:tabs>
        <w:rPr>
          <w:rFonts w:eastAsiaTheme="minorEastAsia"/>
          <w:b w:val="0"/>
          <w:noProof/>
          <w:lang w:eastAsia="sv-SE"/>
        </w:rPr>
      </w:pPr>
      <w:hyperlink w:anchor="_Toc87031493" w:history="1">
        <w:r w:rsidRPr="003040EC">
          <w:rPr>
            <w:rStyle w:val="Hyperlink"/>
            <w:noProof/>
          </w:rPr>
          <w:t>Proposal 7</w:t>
        </w:r>
        <w:r>
          <w:rPr>
            <w:rFonts w:eastAsiaTheme="minorEastAsia"/>
            <w:b w:val="0"/>
            <w:noProof/>
            <w:lang w:eastAsia="sv-SE"/>
          </w:rPr>
          <w:tab/>
        </w:r>
        <w:r w:rsidRPr="003040EC">
          <w:rPr>
            <w:rStyle w:val="Hyperlink"/>
            <w:noProof/>
          </w:rPr>
          <w:t>For SPS activation, HARQ feedback is not sent if the network has disabled HARQ feedback for the used HARQ process.</w:t>
        </w:r>
      </w:hyperlink>
    </w:p>
    <w:p w14:paraId="60F6340A" w14:textId="77777777" w:rsidR="00570DDB" w:rsidRDefault="00570DDB">
      <w:pPr>
        <w:pStyle w:val="TableofFigures"/>
        <w:tabs>
          <w:tab w:val="right" w:leader="dot" w:pos="9629"/>
        </w:tabs>
        <w:rPr>
          <w:rFonts w:eastAsiaTheme="minorEastAsia"/>
          <w:b w:val="0"/>
          <w:noProof/>
          <w:lang w:eastAsia="sv-SE"/>
        </w:rPr>
      </w:pPr>
      <w:hyperlink w:anchor="_Toc87031494" w:history="1">
        <w:r w:rsidRPr="003040EC">
          <w:rPr>
            <w:rStyle w:val="Hyperlink"/>
            <w:noProof/>
          </w:rPr>
          <w:t>Proposal 8</w:t>
        </w:r>
        <w:r>
          <w:rPr>
            <w:rFonts w:eastAsiaTheme="minorEastAsia"/>
            <w:b w:val="0"/>
            <w:noProof/>
            <w:lang w:eastAsia="sv-SE"/>
          </w:rPr>
          <w:tab/>
        </w:r>
        <w:r w:rsidRPr="003040EC">
          <w:rPr>
            <w:rStyle w:val="Hyperlink"/>
            <w:noProof/>
          </w:rPr>
          <w:t>RAN1 should conclude that the configuration of HARQ feedback as enabled or disabled does not impact the UE capability to buffer and combine HARQ retransmissions.</w:t>
        </w:r>
      </w:hyperlink>
    </w:p>
    <w:p w14:paraId="603750CD" w14:textId="77777777" w:rsidR="00570DDB" w:rsidRDefault="00570DDB">
      <w:pPr>
        <w:pStyle w:val="TableofFigures"/>
        <w:tabs>
          <w:tab w:val="right" w:leader="dot" w:pos="9629"/>
        </w:tabs>
        <w:rPr>
          <w:rFonts w:eastAsiaTheme="minorEastAsia"/>
          <w:b w:val="0"/>
          <w:noProof/>
          <w:lang w:eastAsia="sv-SE"/>
        </w:rPr>
      </w:pPr>
      <w:hyperlink w:anchor="_Toc87031495" w:history="1">
        <w:r w:rsidRPr="003040EC">
          <w:rPr>
            <w:rStyle w:val="Hyperlink"/>
            <w:noProof/>
          </w:rPr>
          <w:t>Proposal 9</w:t>
        </w:r>
        <w:r>
          <w:rPr>
            <w:rFonts w:eastAsiaTheme="minorEastAsia"/>
            <w:b w:val="0"/>
            <w:noProof/>
            <w:lang w:eastAsia="sv-SE"/>
          </w:rPr>
          <w:tab/>
        </w:r>
        <w:r w:rsidRPr="003040EC">
          <w:rPr>
            <w:rStyle w:val="Hyperlink"/>
            <w:noProof/>
          </w:rPr>
          <w:t>Do not increase the aggregation factor for PDSCH.</w:t>
        </w:r>
      </w:hyperlink>
    </w:p>
    <w:p w14:paraId="4523BB43" w14:textId="77777777" w:rsidR="00570DDB" w:rsidRDefault="00570DDB">
      <w:pPr>
        <w:pStyle w:val="TableofFigures"/>
        <w:tabs>
          <w:tab w:val="right" w:leader="dot" w:pos="9629"/>
        </w:tabs>
        <w:rPr>
          <w:rFonts w:eastAsiaTheme="minorEastAsia"/>
          <w:b w:val="0"/>
          <w:noProof/>
          <w:lang w:eastAsia="sv-SE"/>
        </w:rPr>
      </w:pPr>
      <w:hyperlink w:anchor="_Toc87031496" w:history="1">
        <w:r w:rsidRPr="003040EC">
          <w:rPr>
            <w:rStyle w:val="Hyperlink"/>
            <w:noProof/>
          </w:rPr>
          <w:t>Proposal 10</w:t>
        </w:r>
        <w:r>
          <w:rPr>
            <w:rFonts w:eastAsiaTheme="minorEastAsia"/>
            <w:b w:val="0"/>
            <w:noProof/>
            <w:lang w:eastAsia="sv-SE"/>
          </w:rPr>
          <w:tab/>
        </w:r>
        <w:r w:rsidRPr="003040EC">
          <w:rPr>
            <w:rStyle w:val="Hyperlink"/>
            <w:noProof/>
          </w:rPr>
          <w:t>Add RRC parameter nrofHARQ-ProcessesForPUSCH-r17 indicating the number of HARQ processes to be used on the PUSCH of a serving cell if separate UE capabilities are defined for supported number of HARQ processes in UL and DL.</w:t>
        </w:r>
      </w:hyperlink>
    </w:p>
    <w:p w14:paraId="06D3DDAC" w14:textId="77777777" w:rsidR="00570DDB" w:rsidRDefault="00570DDB">
      <w:pPr>
        <w:pStyle w:val="TableofFigures"/>
        <w:tabs>
          <w:tab w:val="right" w:leader="dot" w:pos="9629"/>
        </w:tabs>
        <w:rPr>
          <w:rFonts w:eastAsiaTheme="minorEastAsia"/>
          <w:b w:val="0"/>
          <w:noProof/>
          <w:lang w:eastAsia="sv-SE"/>
        </w:rPr>
      </w:pPr>
      <w:hyperlink w:anchor="_Toc87031497" w:history="1">
        <w:r w:rsidRPr="003040EC">
          <w:rPr>
            <w:rStyle w:val="Hyperlink"/>
            <w:noProof/>
          </w:rPr>
          <w:t>Proposal 11</w:t>
        </w:r>
        <w:r>
          <w:rPr>
            <w:rFonts w:eastAsiaTheme="minorEastAsia"/>
            <w:b w:val="0"/>
            <w:noProof/>
            <w:lang w:eastAsia="sv-SE"/>
          </w:rPr>
          <w:tab/>
        </w:r>
        <w:r w:rsidRPr="003040EC">
          <w:rPr>
            <w:rStyle w:val="Hyperlink"/>
            <w:noProof/>
          </w:rPr>
          <w:t>For RRC parameters HARQ-ProcessNumberSizeDCI-0-1-r17 and HARQ-ProcessNumberSizeDCI-1-1-r17, the value range should be {4,5}.</w:t>
        </w:r>
      </w:hyperlink>
    </w:p>
    <w:p w14:paraId="7FDB652A" w14:textId="08EBCB48" w:rsidR="009F06A5" w:rsidRPr="007A1806" w:rsidRDefault="009F06A5" w:rsidP="003B3457">
      <w:pPr>
        <w:rPr>
          <w:highlight w:val="yellow"/>
        </w:rPr>
      </w:pPr>
      <w:r w:rsidRPr="007A1806">
        <w:fldChar w:fldCharType="end"/>
      </w:r>
    </w:p>
    <w:p w14:paraId="43055322" w14:textId="1A950341" w:rsidR="00185E4A" w:rsidRPr="007A1806" w:rsidRDefault="00F507D1" w:rsidP="00A61576">
      <w:pPr>
        <w:pStyle w:val="Heading1"/>
        <w:rPr>
          <w:rFonts w:cs="Arial"/>
        </w:rPr>
      </w:pPr>
      <w:bookmarkStart w:id="22" w:name="_In-sequence_SDU_delivery"/>
      <w:bookmarkEnd w:id="22"/>
      <w:r w:rsidRPr="007A1806">
        <w:rPr>
          <w:rFonts w:cs="Arial"/>
        </w:rPr>
        <w:t>References</w:t>
      </w:r>
      <w:bookmarkStart w:id="23" w:name="_Ref510504022"/>
      <w:bookmarkStart w:id="24" w:name="_Ref510814820"/>
      <w:bookmarkStart w:id="25" w:name="_Ref174151459"/>
      <w:bookmarkStart w:id="26" w:name="_Ref189809556"/>
    </w:p>
    <w:p w14:paraId="6FDAFAD3" w14:textId="59B39F3E" w:rsidR="0081032C" w:rsidRDefault="007A1806" w:rsidP="003B3457">
      <w:pPr>
        <w:pStyle w:val="Reference"/>
      </w:pPr>
      <w:bookmarkStart w:id="27" w:name="_Ref42716514"/>
      <w:bookmarkStart w:id="28" w:name="_Ref45286859"/>
      <w:bookmarkEnd w:id="23"/>
      <w:bookmarkEnd w:id="24"/>
      <w:bookmarkEnd w:id="25"/>
      <w:bookmarkEnd w:id="26"/>
      <w:r w:rsidRPr="007A1806">
        <w:t>RP-211</w:t>
      </w:r>
      <w:r w:rsidR="00A86273">
        <w:t>784</w:t>
      </w:r>
      <w:r w:rsidRPr="007A1806">
        <w:t>, “Solutions for NR to support non-terrestrial networks (NTN),” 3GPP TSG RAN #9</w:t>
      </w:r>
      <w:r w:rsidR="00A86273">
        <w:t>3</w:t>
      </w:r>
      <w:r w:rsidRPr="007A1806">
        <w:t xml:space="preserve">-e, </w:t>
      </w:r>
      <w:r w:rsidR="006569AF">
        <w:t>Sep</w:t>
      </w:r>
      <w:r w:rsidRPr="007A1806">
        <w:t xml:space="preserve"> 20</w:t>
      </w:r>
      <w:bookmarkEnd w:id="27"/>
      <w:r w:rsidRPr="007A1806">
        <w:t>21.</w:t>
      </w:r>
      <w:bookmarkEnd w:id="28"/>
    </w:p>
    <w:p w14:paraId="5AF103AF" w14:textId="410929C4" w:rsidR="008C33B2" w:rsidRDefault="008C33B2" w:rsidP="003B3457">
      <w:pPr>
        <w:pStyle w:val="Reference"/>
      </w:pPr>
      <w:bookmarkStart w:id="29" w:name="_Ref86867926"/>
      <w:r w:rsidRPr="008C33B2">
        <w:t>RP-212713</w:t>
      </w:r>
      <w:r>
        <w:t>, ”</w:t>
      </w:r>
      <w:r w:rsidR="00F20E88" w:rsidRPr="00F20E88">
        <w:t>New WI: NR NTN (Non-Terrestrial Networks) enhancements</w:t>
      </w:r>
      <w:r>
        <w:t>”</w:t>
      </w:r>
      <w:r w:rsidR="00F20E88">
        <w:t xml:space="preserve">, </w:t>
      </w:r>
      <w:r w:rsidR="00837668" w:rsidRPr="00837668">
        <w:t>RAN Vice-Chair (AT&amp;T)</w:t>
      </w:r>
      <w:r w:rsidR="00837668">
        <w:t xml:space="preserve">, </w:t>
      </w:r>
      <w:r w:rsidR="00B262EC">
        <w:t>December 2021</w:t>
      </w:r>
      <w:bookmarkEnd w:id="29"/>
    </w:p>
    <w:p w14:paraId="7F3CD0D1" w14:textId="4A39E84B" w:rsidR="004065BE" w:rsidRDefault="004065BE" w:rsidP="003B3457">
      <w:pPr>
        <w:pStyle w:val="Reference"/>
      </w:pPr>
      <w:bookmarkStart w:id="30" w:name="_Ref83273940"/>
      <w:r w:rsidRPr="004F0473">
        <w:t>R1-2001513</w:t>
      </w:r>
      <w:r>
        <w:t xml:space="preserve">, </w:t>
      </w:r>
      <w:r w:rsidRPr="004F0473">
        <w:t>Guidelines for UE capability definitions</w:t>
      </w:r>
      <w:bookmarkEnd w:id="30"/>
    </w:p>
    <w:p w14:paraId="617B7A1E" w14:textId="3619C952" w:rsidR="00D72760" w:rsidRDefault="00D72760" w:rsidP="003B3457">
      <w:pPr>
        <w:pStyle w:val="Reference"/>
      </w:pPr>
      <w:bookmarkStart w:id="31" w:name="_Ref83994395"/>
      <w:r w:rsidRPr="00D72760">
        <w:t>R1-21</w:t>
      </w:r>
      <w:r w:rsidR="006569AF">
        <w:t>10624</w:t>
      </w:r>
      <w:r w:rsidRPr="00D72760">
        <w:t>, ”</w:t>
      </w:r>
      <w:r w:rsidR="006569AF" w:rsidRPr="006569AF">
        <w:t>Summary of [106bis-e-R17-RRC-NR-NTN] Email discussion on Rel-17 RRC parameters for NR to support NTN</w:t>
      </w:r>
      <w:r w:rsidRPr="00D72760">
        <w:t xml:space="preserve">”, Moderator (Thales), </w:t>
      </w:r>
      <w:r w:rsidR="006569AF">
        <w:t>Oct</w:t>
      </w:r>
      <w:r w:rsidRPr="00D72760">
        <w:t xml:space="preserve"> 2021</w:t>
      </w:r>
      <w:bookmarkEnd w:id="31"/>
    </w:p>
    <w:p w14:paraId="77BF3099" w14:textId="1006A7AE" w:rsidR="00F95BE7" w:rsidRPr="00D72760" w:rsidRDefault="00F95BE7" w:rsidP="003B3457">
      <w:pPr>
        <w:pStyle w:val="Reference"/>
      </w:pPr>
      <w:bookmarkStart w:id="32" w:name="_Ref86230282"/>
      <w:r>
        <w:t>R1-2109812, ”</w:t>
      </w:r>
      <w:r w:rsidRPr="00F95BE7">
        <w:t>Discussion on HARQ Enhancements for NTN</w:t>
      </w:r>
      <w:r>
        <w:t>”, ETRI, Oct 2021</w:t>
      </w:r>
      <w:bookmarkEnd w:id="32"/>
    </w:p>
    <w:p w14:paraId="0AD9171F" w14:textId="0B1C7987" w:rsidR="007434CD" w:rsidRPr="007A1806" w:rsidRDefault="007434CD" w:rsidP="003B3457">
      <w:pPr>
        <w:pStyle w:val="Reference"/>
      </w:pPr>
      <w:bookmarkStart w:id="33" w:name="_Ref29827421"/>
      <w:bookmarkStart w:id="34" w:name="_Ref46459196"/>
      <w:r w:rsidRPr="007A1806">
        <w:t xml:space="preserve">TR 38.821, </w:t>
      </w:r>
      <w:r w:rsidR="008B217E">
        <w:t>“</w:t>
      </w:r>
      <w:r w:rsidRPr="007A1806">
        <w:t>Solutions for NR to support non-terrestrial networks</w:t>
      </w:r>
      <w:bookmarkEnd w:id="33"/>
      <w:r w:rsidR="00B018DF" w:rsidRPr="007A1806">
        <w:t>”</w:t>
      </w:r>
      <w:r w:rsidR="00697181" w:rsidRPr="007A1806">
        <w:t>.</w:t>
      </w:r>
      <w:bookmarkEnd w:id="34"/>
    </w:p>
    <w:p w14:paraId="705A4C9D" w14:textId="322A1125" w:rsidR="00C46298" w:rsidRDefault="0068489A" w:rsidP="003B3457">
      <w:pPr>
        <w:pStyle w:val="Reference"/>
      </w:pPr>
      <w:bookmarkStart w:id="35" w:name="_Ref61619345"/>
      <w:r w:rsidRPr="007A1806">
        <w:t xml:space="preserve">TS 38.214, </w:t>
      </w:r>
      <w:r w:rsidR="008B217E">
        <w:t>“</w:t>
      </w:r>
      <w:r w:rsidRPr="007A1806">
        <w:t xml:space="preserve">NR Physical layer procedures for data”, </w:t>
      </w:r>
      <w:r w:rsidR="007A0E2C" w:rsidRPr="007A1806">
        <w:t>v16.4.0, Dec, 20</w:t>
      </w:r>
      <w:r w:rsidR="00082891" w:rsidRPr="007A1806">
        <w:t>2</w:t>
      </w:r>
      <w:r w:rsidR="007A0E2C" w:rsidRPr="007A1806">
        <w:t>0.</w:t>
      </w:r>
      <w:bookmarkEnd w:id="35"/>
    </w:p>
    <w:p w14:paraId="38133CA1" w14:textId="561925E2" w:rsidR="00C10DAF" w:rsidRPr="00C10DAF" w:rsidRDefault="00C10DAF" w:rsidP="003B3457">
      <w:pPr>
        <w:pStyle w:val="Reference"/>
      </w:pPr>
      <w:bookmarkStart w:id="36" w:name="_Ref76364594"/>
      <w:bookmarkStart w:id="37" w:name="_Ref83987271"/>
      <w:r w:rsidRPr="00C10DAF">
        <w:t>X. Lin, S. Rommer, S. Euler, E. A. Yavuz, and R. S. Karlsson, “5G from space: An overview of 3GPP non-terrestrial networks,” to appear in IEEE Communications Standards Magazine, March 2021</w:t>
      </w:r>
      <w:bookmarkEnd w:id="36"/>
      <w:r w:rsidRPr="00C10DAF">
        <w:t>. Available at arXiv preprint arXiv:2103.09156.</w:t>
      </w:r>
      <w:bookmarkEnd w:id="37"/>
    </w:p>
    <w:p w14:paraId="0DA618D4" w14:textId="3DA83C9C" w:rsidR="00C10DAF" w:rsidRPr="00C10DAF" w:rsidRDefault="00C10DAF" w:rsidP="003B3457">
      <w:pPr>
        <w:pStyle w:val="Reference"/>
      </w:pPr>
      <w:bookmarkStart w:id="38" w:name="_Ref82507023"/>
      <w:r w:rsidRPr="00C10DAF">
        <w:t>X. Lin, S. Cioni, G. Charbit, N. Chuberre, S. Hellsten, and J.-F. Boutillon, “On the path to 6G: Embracing the next wave of low Earth orbit satellite access,” to appear in IEEE Communications Magazine, April 2021. Available at arXiv preprint arXiv:2104.10533.</w:t>
      </w:r>
      <w:bookmarkEnd w:id="38"/>
    </w:p>
    <w:sectPr w:rsidR="00C10DAF" w:rsidRPr="00C10DA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6D874" w14:textId="77777777" w:rsidR="00975EA0" w:rsidRDefault="00975EA0" w:rsidP="003B3457">
      <w:r>
        <w:separator/>
      </w:r>
    </w:p>
    <w:p w14:paraId="5F68E899" w14:textId="77777777" w:rsidR="00D9081C" w:rsidRDefault="00D9081C"/>
  </w:endnote>
  <w:endnote w:type="continuationSeparator" w:id="0">
    <w:p w14:paraId="68B341F4" w14:textId="77777777" w:rsidR="00975EA0" w:rsidRDefault="00975EA0" w:rsidP="003B3457">
      <w:r>
        <w:continuationSeparator/>
      </w:r>
    </w:p>
    <w:p w14:paraId="5E6DAE41" w14:textId="77777777" w:rsidR="00D9081C" w:rsidRDefault="00D9081C"/>
  </w:endnote>
  <w:endnote w:type="continuationNotice" w:id="1">
    <w:p w14:paraId="6019025C" w14:textId="77777777" w:rsidR="00975EA0" w:rsidRDefault="00975EA0" w:rsidP="003B3457"/>
    <w:p w14:paraId="57B73AA0" w14:textId="77777777" w:rsidR="00D9081C" w:rsidRDefault="00D90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5E0B54" w:rsidRDefault="005E0B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8F72A20" w14:textId="77777777" w:rsidR="00D9081C" w:rsidRDefault="00D908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108A2" w14:textId="77777777" w:rsidR="00975EA0" w:rsidRDefault="00975EA0" w:rsidP="003B3457">
      <w:r>
        <w:separator/>
      </w:r>
    </w:p>
    <w:p w14:paraId="1D2D82DA" w14:textId="77777777" w:rsidR="00D9081C" w:rsidRDefault="00D9081C"/>
  </w:footnote>
  <w:footnote w:type="continuationSeparator" w:id="0">
    <w:p w14:paraId="489A2A6F" w14:textId="77777777" w:rsidR="00975EA0" w:rsidRDefault="00975EA0" w:rsidP="003B3457">
      <w:r>
        <w:continuationSeparator/>
      </w:r>
    </w:p>
    <w:p w14:paraId="503E2BD9" w14:textId="77777777" w:rsidR="00D9081C" w:rsidRDefault="00D9081C"/>
  </w:footnote>
  <w:footnote w:type="continuationNotice" w:id="1">
    <w:p w14:paraId="7D917F2D" w14:textId="77777777" w:rsidR="00975EA0" w:rsidRDefault="00975EA0" w:rsidP="003B3457"/>
    <w:p w14:paraId="5842403B" w14:textId="77777777" w:rsidR="00D9081C" w:rsidRDefault="00D90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E0B54" w:rsidRDefault="005E0B54" w:rsidP="004A4271">
    <w:r>
      <w:t xml:space="preserve">Page </w:t>
    </w:r>
    <w:r>
      <w:fldChar w:fldCharType="begin"/>
    </w:r>
    <w:r>
      <w:instrText>PAGE</w:instrText>
    </w:r>
    <w:r>
      <w:fldChar w:fldCharType="separate"/>
    </w:r>
    <w:r>
      <w:t>4</w:t>
    </w:r>
    <w:r>
      <w:fldChar w:fldCharType="end"/>
    </w:r>
    <w:r>
      <w:br/>
      <w:t>Draft prETS 300 ???: Month YYYY</w:t>
    </w:r>
  </w:p>
  <w:p w14:paraId="26D1C9C6" w14:textId="77777777" w:rsidR="00D9081C" w:rsidRDefault="00D908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84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52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3054C3"/>
    <w:multiLevelType w:val="multilevel"/>
    <w:tmpl w:val="7270C1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A453AB"/>
    <w:multiLevelType w:val="hybridMultilevel"/>
    <w:tmpl w:val="A92694B8"/>
    <w:lvl w:ilvl="0" w:tplc="13BC8110">
      <w:start w:val="1"/>
      <w:numFmt w:val="upperLetter"/>
      <w:pStyle w:val="Appendix"/>
      <w:lvlText w:val="Appendi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2926B8"/>
    <w:multiLevelType w:val="hybridMultilevel"/>
    <w:tmpl w:val="3DD45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DEA2972"/>
    <w:lvl w:ilvl="0" w:tplc="669626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AA2B44C"/>
    <w:lvl w:ilvl="0" w:tplc="657A75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152EC"/>
    <w:multiLevelType w:val="hybridMultilevel"/>
    <w:tmpl w:val="E020D6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E4C319E"/>
    <w:multiLevelType w:val="hybridMultilevel"/>
    <w:tmpl w:val="3F16A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D22427"/>
    <w:multiLevelType w:val="hybridMultilevel"/>
    <w:tmpl w:val="34FC1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280ACF"/>
    <w:multiLevelType w:val="hybridMultilevel"/>
    <w:tmpl w:val="B7B4F2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4"/>
  </w:num>
  <w:num w:numId="5">
    <w:abstractNumId w:val="16"/>
  </w:num>
  <w:num w:numId="6">
    <w:abstractNumId w:val="17"/>
  </w:num>
  <w:num w:numId="7">
    <w:abstractNumId w:val="7"/>
  </w:num>
  <w:num w:numId="8">
    <w:abstractNumId w:val="8"/>
  </w:num>
  <w:num w:numId="9">
    <w:abstractNumId w:val="5"/>
  </w:num>
  <w:num w:numId="10">
    <w:abstractNumId w:val="21"/>
  </w:num>
  <w:num w:numId="11">
    <w:abstractNumId w:val="10"/>
  </w:num>
  <w:num w:numId="12">
    <w:abstractNumId w:val="18"/>
  </w:num>
  <w:num w:numId="13">
    <w:abstractNumId w:val="9"/>
  </w:num>
  <w:num w:numId="14">
    <w:abstractNumId w:val="4"/>
  </w:num>
  <w:num w:numId="15">
    <w:abstractNumId w:val="3"/>
  </w:num>
  <w:num w:numId="16">
    <w:abstractNumId w:val="6"/>
  </w:num>
  <w:num w:numId="17">
    <w:abstractNumId w:val="11"/>
  </w:num>
  <w:num w:numId="18">
    <w:abstractNumId w:val="15"/>
  </w:num>
  <w:num w:numId="19">
    <w:abstractNumId w:val="22"/>
  </w:num>
  <w:num w:numId="20">
    <w:abstractNumId w:val="20"/>
  </w:num>
  <w:num w:numId="21">
    <w:abstractNumId w:val="1"/>
  </w:num>
  <w:num w:numId="22">
    <w:abstractNumId w:val="0"/>
  </w:num>
  <w:num w:numId="2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82C"/>
    <w:rsid w:val="00002A37"/>
    <w:rsid w:val="00003B3F"/>
    <w:rsid w:val="0000564C"/>
    <w:rsid w:val="00006446"/>
    <w:rsid w:val="00006896"/>
    <w:rsid w:val="000073B3"/>
    <w:rsid w:val="00007CB2"/>
    <w:rsid w:val="00007CDC"/>
    <w:rsid w:val="00010F01"/>
    <w:rsid w:val="00011B28"/>
    <w:rsid w:val="00012370"/>
    <w:rsid w:val="00012495"/>
    <w:rsid w:val="00014EF6"/>
    <w:rsid w:val="000151A2"/>
    <w:rsid w:val="0001535C"/>
    <w:rsid w:val="000154C3"/>
    <w:rsid w:val="000154EF"/>
    <w:rsid w:val="00015CC2"/>
    <w:rsid w:val="00015D15"/>
    <w:rsid w:val="0002015E"/>
    <w:rsid w:val="00020BB4"/>
    <w:rsid w:val="00020D47"/>
    <w:rsid w:val="00021BCA"/>
    <w:rsid w:val="000223A4"/>
    <w:rsid w:val="0002306C"/>
    <w:rsid w:val="000239A5"/>
    <w:rsid w:val="00023A67"/>
    <w:rsid w:val="000245AB"/>
    <w:rsid w:val="000250B9"/>
    <w:rsid w:val="0002564D"/>
    <w:rsid w:val="00025ECA"/>
    <w:rsid w:val="0002698A"/>
    <w:rsid w:val="0003127F"/>
    <w:rsid w:val="000325B8"/>
    <w:rsid w:val="00032C32"/>
    <w:rsid w:val="00033A33"/>
    <w:rsid w:val="00034C15"/>
    <w:rsid w:val="00034C16"/>
    <w:rsid w:val="00035B60"/>
    <w:rsid w:val="00036BA1"/>
    <w:rsid w:val="00040924"/>
    <w:rsid w:val="000422E2"/>
    <w:rsid w:val="000428E8"/>
    <w:rsid w:val="00042F22"/>
    <w:rsid w:val="00042F82"/>
    <w:rsid w:val="000433AE"/>
    <w:rsid w:val="0004355B"/>
    <w:rsid w:val="00043953"/>
    <w:rsid w:val="00043A70"/>
    <w:rsid w:val="000440A2"/>
    <w:rsid w:val="000444EF"/>
    <w:rsid w:val="00044C67"/>
    <w:rsid w:val="0004616A"/>
    <w:rsid w:val="00046586"/>
    <w:rsid w:val="00046CAE"/>
    <w:rsid w:val="00047904"/>
    <w:rsid w:val="00047B44"/>
    <w:rsid w:val="00047B9C"/>
    <w:rsid w:val="0005105C"/>
    <w:rsid w:val="00052781"/>
    <w:rsid w:val="0005287E"/>
    <w:rsid w:val="00052A07"/>
    <w:rsid w:val="000534E3"/>
    <w:rsid w:val="0005406E"/>
    <w:rsid w:val="0005606A"/>
    <w:rsid w:val="00056B29"/>
    <w:rsid w:val="00057117"/>
    <w:rsid w:val="00057A10"/>
    <w:rsid w:val="0006060C"/>
    <w:rsid w:val="0006083F"/>
    <w:rsid w:val="000616E7"/>
    <w:rsid w:val="000642B1"/>
    <w:rsid w:val="0006470B"/>
    <w:rsid w:val="0006487E"/>
    <w:rsid w:val="0006535A"/>
    <w:rsid w:val="00065E1A"/>
    <w:rsid w:val="000666D7"/>
    <w:rsid w:val="0007155D"/>
    <w:rsid w:val="000738AC"/>
    <w:rsid w:val="000748AA"/>
    <w:rsid w:val="000748CD"/>
    <w:rsid w:val="000759D7"/>
    <w:rsid w:val="00075A4C"/>
    <w:rsid w:val="00077468"/>
    <w:rsid w:val="00077AAA"/>
    <w:rsid w:val="00077E3F"/>
    <w:rsid w:val="00077E5F"/>
    <w:rsid w:val="0008036A"/>
    <w:rsid w:val="00080B37"/>
    <w:rsid w:val="00081160"/>
    <w:rsid w:val="0008193D"/>
    <w:rsid w:val="00081AE6"/>
    <w:rsid w:val="00081E7D"/>
    <w:rsid w:val="00082891"/>
    <w:rsid w:val="00084563"/>
    <w:rsid w:val="000851AE"/>
    <w:rsid w:val="000855EB"/>
    <w:rsid w:val="00085AD7"/>
    <w:rsid w:val="00085B52"/>
    <w:rsid w:val="000866F2"/>
    <w:rsid w:val="00086772"/>
    <w:rsid w:val="00087623"/>
    <w:rsid w:val="0009006E"/>
    <w:rsid w:val="0009009F"/>
    <w:rsid w:val="00091557"/>
    <w:rsid w:val="00091695"/>
    <w:rsid w:val="000924C1"/>
    <w:rsid w:val="000924F0"/>
    <w:rsid w:val="00093474"/>
    <w:rsid w:val="0009370F"/>
    <w:rsid w:val="000938F7"/>
    <w:rsid w:val="0009510F"/>
    <w:rsid w:val="000951A0"/>
    <w:rsid w:val="0009632E"/>
    <w:rsid w:val="000A1B7B"/>
    <w:rsid w:val="000A4BFF"/>
    <w:rsid w:val="000A5107"/>
    <w:rsid w:val="000A56F2"/>
    <w:rsid w:val="000A580C"/>
    <w:rsid w:val="000A665C"/>
    <w:rsid w:val="000B078B"/>
    <w:rsid w:val="000B0E02"/>
    <w:rsid w:val="000B146D"/>
    <w:rsid w:val="000B18A2"/>
    <w:rsid w:val="000B2719"/>
    <w:rsid w:val="000B3A8F"/>
    <w:rsid w:val="000B4AB9"/>
    <w:rsid w:val="000B5179"/>
    <w:rsid w:val="000B579E"/>
    <w:rsid w:val="000B58C3"/>
    <w:rsid w:val="000B5B4E"/>
    <w:rsid w:val="000B6049"/>
    <w:rsid w:val="000B61E9"/>
    <w:rsid w:val="000B71EB"/>
    <w:rsid w:val="000C1148"/>
    <w:rsid w:val="000C165A"/>
    <w:rsid w:val="000C2E19"/>
    <w:rsid w:val="000C3441"/>
    <w:rsid w:val="000C3C55"/>
    <w:rsid w:val="000C4F3E"/>
    <w:rsid w:val="000C51EC"/>
    <w:rsid w:val="000C528D"/>
    <w:rsid w:val="000C5BC4"/>
    <w:rsid w:val="000C63BD"/>
    <w:rsid w:val="000C6BA2"/>
    <w:rsid w:val="000C6F25"/>
    <w:rsid w:val="000C72EF"/>
    <w:rsid w:val="000C7772"/>
    <w:rsid w:val="000C7E89"/>
    <w:rsid w:val="000D029E"/>
    <w:rsid w:val="000D057E"/>
    <w:rsid w:val="000D0D07"/>
    <w:rsid w:val="000D2055"/>
    <w:rsid w:val="000D2359"/>
    <w:rsid w:val="000D2AFA"/>
    <w:rsid w:val="000D3D4C"/>
    <w:rsid w:val="000D4075"/>
    <w:rsid w:val="000D4797"/>
    <w:rsid w:val="000D614F"/>
    <w:rsid w:val="000D65B9"/>
    <w:rsid w:val="000D7A5F"/>
    <w:rsid w:val="000D7BDE"/>
    <w:rsid w:val="000D7F1F"/>
    <w:rsid w:val="000E0527"/>
    <w:rsid w:val="000E0D13"/>
    <w:rsid w:val="000E1E92"/>
    <w:rsid w:val="000E288B"/>
    <w:rsid w:val="000E2BE5"/>
    <w:rsid w:val="000E369D"/>
    <w:rsid w:val="000E36AB"/>
    <w:rsid w:val="000E5128"/>
    <w:rsid w:val="000F01F8"/>
    <w:rsid w:val="000F06D6"/>
    <w:rsid w:val="000F0908"/>
    <w:rsid w:val="000F0EB1"/>
    <w:rsid w:val="000F1106"/>
    <w:rsid w:val="000F30DE"/>
    <w:rsid w:val="000F36A4"/>
    <w:rsid w:val="000F3BE9"/>
    <w:rsid w:val="000F3F6C"/>
    <w:rsid w:val="000F3FFB"/>
    <w:rsid w:val="000F6DF3"/>
    <w:rsid w:val="001005FF"/>
    <w:rsid w:val="001020BA"/>
    <w:rsid w:val="00102E1D"/>
    <w:rsid w:val="001054AB"/>
    <w:rsid w:val="00105EE7"/>
    <w:rsid w:val="001062FB"/>
    <w:rsid w:val="001063E6"/>
    <w:rsid w:val="0010686F"/>
    <w:rsid w:val="00110D22"/>
    <w:rsid w:val="00113A9B"/>
    <w:rsid w:val="00113CF4"/>
    <w:rsid w:val="00114AE3"/>
    <w:rsid w:val="00114B55"/>
    <w:rsid w:val="001153EA"/>
    <w:rsid w:val="00115643"/>
    <w:rsid w:val="00116765"/>
    <w:rsid w:val="0011691C"/>
    <w:rsid w:val="00116CD0"/>
    <w:rsid w:val="00117814"/>
    <w:rsid w:val="001206CC"/>
    <w:rsid w:val="00120AD4"/>
    <w:rsid w:val="00121897"/>
    <w:rsid w:val="001219F5"/>
    <w:rsid w:val="00121A20"/>
    <w:rsid w:val="0012278F"/>
    <w:rsid w:val="0012377F"/>
    <w:rsid w:val="00124314"/>
    <w:rsid w:val="0012506A"/>
    <w:rsid w:val="00125228"/>
    <w:rsid w:val="00126681"/>
    <w:rsid w:val="00126B4A"/>
    <w:rsid w:val="001275BB"/>
    <w:rsid w:val="001303E2"/>
    <w:rsid w:val="001313C4"/>
    <w:rsid w:val="0013197F"/>
    <w:rsid w:val="00132FD0"/>
    <w:rsid w:val="00133539"/>
    <w:rsid w:val="00133DD3"/>
    <w:rsid w:val="00133F6C"/>
    <w:rsid w:val="001344C0"/>
    <w:rsid w:val="001346FA"/>
    <w:rsid w:val="001349AE"/>
    <w:rsid w:val="00135252"/>
    <w:rsid w:val="00136BBB"/>
    <w:rsid w:val="00137AB5"/>
    <w:rsid w:val="00137F0B"/>
    <w:rsid w:val="00140130"/>
    <w:rsid w:val="001401D4"/>
    <w:rsid w:val="001414D7"/>
    <w:rsid w:val="001416C8"/>
    <w:rsid w:val="00142AAD"/>
    <w:rsid w:val="001439B0"/>
    <w:rsid w:val="00143F5D"/>
    <w:rsid w:val="0014458F"/>
    <w:rsid w:val="00145800"/>
    <w:rsid w:val="00151249"/>
    <w:rsid w:val="00151E23"/>
    <w:rsid w:val="001526E0"/>
    <w:rsid w:val="001537E2"/>
    <w:rsid w:val="001551B5"/>
    <w:rsid w:val="00155480"/>
    <w:rsid w:val="00156589"/>
    <w:rsid w:val="00160932"/>
    <w:rsid w:val="0016097D"/>
    <w:rsid w:val="00161575"/>
    <w:rsid w:val="0016162E"/>
    <w:rsid w:val="00161B75"/>
    <w:rsid w:val="001621FF"/>
    <w:rsid w:val="00162C1B"/>
    <w:rsid w:val="001639D9"/>
    <w:rsid w:val="00163DF4"/>
    <w:rsid w:val="00163FA4"/>
    <w:rsid w:val="00164076"/>
    <w:rsid w:val="00164D3B"/>
    <w:rsid w:val="001659C1"/>
    <w:rsid w:val="0016666C"/>
    <w:rsid w:val="00167516"/>
    <w:rsid w:val="00173A8E"/>
    <w:rsid w:val="0017502C"/>
    <w:rsid w:val="00180BFA"/>
    <w:rsid w:val="0018143F"/>
    <w:rsid w:val="001815B1"/>
    <w:rsid w:val="00181FF8"/>
    <w:rsid w:val="00183141"/>
    <w:rsid w:val="00183F43"/>
    <w:rsid w:val="00184345"/>
    <w:rsid w:val="00184BC0"/>
    <w:rsid w:val="00185E4A"/>
    <w:rsid w:val="0018683C"/>
    <w:rsid w:val="001871D0"/>
    <w:rsid w:val="00190AC1"/>
    <w:rsid w:val="00190CF6"/>
    <w:rsid w:val="0019341A"/>
    <w:rsid w:val="001950BE"/>
    <w:rsid w:val="0019582E"/>
    <w:rsid w:val="0019730C"/>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614"/>
    <w:rsid w:val="001B0D97"/>
    <w:rsid w:val="001B15CB"/>
    <w:rsid w:val="001B2D95"/>
    <w:rsid w:val="001B4F9C"/>
    <w:rsid w:val="001B5A5D"/>
    <w:rsid w:val="001B68B6"/>
    <w:rsid w:val="001B7160"/>
    <w:rsid w:val="001C0103"/>
    <w:rsid w:val="001C1CE5"/>
    <w:rsid w:val="001C22D6"/>
    <w:rsid w:val="001C2FA8"/>
    <w:rsid w:val="001C3D2A"/>
    <w:rsid w:val="001C3DC9"/>
    <w:rsid w:val="001C3EB9"/>
    <w:rsid w:val="001C539F"/>
    <w:rsid w:val="001C6C45"/>
    <w:rsid w:val="001C7349"/>
    <w:rsid w:val="001C7D1A"/>
    <w:rsid w:val="001D017C"/>
    <w:rsid w:val="001D09D0"/>
    <w:rsid w:val="001D11A4"/>
    <w:rsid w:val="001D17C6"/>
    <w:rsid w:val="001D244F"/>
    <w:rsid w:val="001D3252"/>
    <w:rsid w:val="001D51BA"/>
    <w:rsid w:val="001D53E7"/>
    <w:rsid w:val="001D5F58"/>
    <w:rsid w:val="001D6342"/>
    <w:rsid w:val="001D6D53"/>
    <w:rsid w:val="001D781B"/>
    <w:rsid w:val="001E1624"/>
    <w:rsid w:val="001E2642"/>
    <w:rsid w:val="001E2A2B"/>
    <w:rsid w:val="001E32B7"/>
    <w:rsid w:val="001E3FB6"/>
    <w:rsid w:val="001E438D"/>
    <w:rsid w:val="001E4FFC"/>
    <w:rsid w:val="001E58E2"/>
    <w:rsid w:val="001E634B"/>
    <w:rsid w:val="001E6462"/>
    <w:rsid w:val="001E7216"/>
    <w:rsid w:val="001E738D"/>
    <w:rsid w:val="001E7AED"/>
    <w:rsid w:val="001F07D7"/>
    <w:rsid w:val="001F0E89"/>
    <w:rsid w:val="001F2F37"/>
    <w:rsid w:val="001F3916"/>
    <w:rsid w:val="001F3B46"/>
    <w:rsid w:val="001F4D8D"/>
    <w:rsid w:val="001F518A"/>
    <w:rsid w:val="001F54C5"/>
    <w:rsid w:val="001F5E3B"/>
    <w:rsid w:val="001F662C"/>
    <w:rsid w:val="001F7074"/>
    <w:rsid w:val="001F764B"/>
    <w:rsid w:val="001F7C9D"/>
    <w:rsid w:val="00200400"/>
    <w:rsid w:val="00200490"/>
    <w:rsid w:val="002014DD"/>
    <w:rsid w:val="00201F3A"/>
    <w:rsid w:val="00203F56"/>
    <w:rsid w:val="00203F96"/>
    <w:rsid w:val="002069B2"/>
    <w:rsid w:val="00207C8E"/>
    <w:rsid w:val="00207FA3"/>
    <w:rsid w:val="00210890"/>
    <w:rsid w:val="00211286"/>
    <w:rsid w:val="002115A2"/>
    <w:rsid w:val="00211B9C"/>
    <w:rsid w:val="00214AA7"/>
    <w:rsid w:val="00214DA8"/>
    <w:rsid w:val="00215423"/>
    <w:rsid w:val="00215566"/>
    <w:rsid w:val="002155E1"/>
    <w:rsid w:val="002158FA"/>
    <w:rsid w:val="00215DAD"/>
    <w:rsid w:val="00216917"/>
    <w:rsid w:val="00217921"/>
    <w:rsid w:val="00220600"/>
    <w:rsid w:val="00220A15"/>
    <w:rsid w:val="002214D6"/>
    <w:rsid w:val="002224DB"/>
    <w:rsid w:val="00223F20"/>
    <w:rsid w:val="00223FCB"/>
    <w:rsid w:val="002252C3"/>
    <w:rsid w:val="00225C54"/>
    <w:rsid w:val="0022614E"/>
    <w:rsid w:val="00226ABC"/>
    <w:rsid w:val="0022731F"/>
    <w:rsid w:val="00227475"/>
    <w:rsid w:val="00230765"/>
    <w:rsid w:val="00230D18"/>
    <w:rsid w:val="002319E4"/>
    <w:rsid w:val="00232DC9"/>
    <w:rsid w:val="002338B3"/>
    <w:rsid w:val="00234EFA"/>
    <w:rsid w:val="00235632"/>
    <w:rsid w:val="00235872"/>
    <w:rsid w:val="0023643C"/>
    <w:rsid w:val="002378FA"/>
    <w:rsid w:val="002403E6"/>
    <w:rsid w:val="00240BB4"/>
    <w:rsid w:val="00241559"/>
    <w:rsid w:val="00241E83"/>
    <w:rsid w:val="00243268"/>
    <w:rsid w:val="002435B3"/>
    <w:rsid w:val="00244370"/>
    <w:rsid w:val="002449B7"/>
    <w:rsid w:val="00244E90"/>
    <w:rsid w:val="00245282"/>
    <w:rsid w:val="002458EB"/>
    <w:rsid w:val="00245A3C"/>
    <w:rsid w:val="00245B35"/>
    <w:rsid w:val="00245D20"/>
    <w:rsid w:val="0024676B"/>
    <w:rsid w:val="002500C8"/>
    <w:rsid w:val="00250A2F"/>
    <w:rsid w:val="00251466"/>
    <w:rsid w:val="00251882"/>
    <w:rsid w:val="002526F8"/>
    <w:rsid w:val="00252826"/>
    <w:rsid w:val="00254967"/>
    <w:rsid w:val="00254A25"/>
    <w:rsid w:val="00254F14"/>
    <w:rsid w:val="0025535B"/>
    <w:rsid w:val="00256209"/>
    <w:rsid w:val="00257543"/>
    <w:rsid w:val="002617E7"/>
    <w:rsid w:val="00261A00"/>
    <w:rsid w:val="00262183"/>
    <w:rsid w:val="00262905"/>
    <w:rsid w:val="00262BCE"/>
    <w:rsid w:val="00263F50"/>
    <w:rsid w:val="00264228"/>
    <w:rsid w:val="00264334"/>
    <w:rsid w:val="0026473E"/>
    <w:rsid w:val="00264A02"/>
    <w:rsid w:val="00264B27"/>
    <w:rsid w:val="00266214"/>
    <w:rsid w:val="00267C83"/>
    <w:rsid w:val="00270874"/>
    <w:rsid w:val="0027144F"/>
    <w:rsid w:val="00271813"/>
    <w:rsid w:val="00271F3A"/>
    <w:rsid w:val="002725F7"/>
    <w:rsid w:val="0027301E"/>
    <w:rsid w:val="00273278"/>
    <w:rsid w:val="002737F4"/>
    <w:rsid w:val="00273999"/>
    <w:rsid w:val="002750C2"/>
    <w:rsid w:val="00277FE8"/>
    <w:rsid w:val="002804C2"/>
    <w:rsid w:val="002805F5"/>
    <w:rsid w:val="00280751"/>
    <w:rsid w:val="002813CF"/>
    <w:rsid w:val="00281D08"/>
    <w:rsid w:val="0028280A"/>
    <w:rsid w:val="00283CBB"/>
    <w:rsid w:val="00283D8E"/>
    <w:rsid w:val="002840AE"/>
    <w:rsid w:val="002862CA"/>
    <w:rsid w:val="00286ACD"/>
    <w:rsid w:val="00287838"/>
    <w:rsid w:val="002901FE"/>
    <w:rsid w:val="0029042A"/>
    <w:rsid w:val="002907B5"/>
    <w:rsid w:val="00291CB8"/>
    <w:rsid w:val="002928CE"/>
    <w:rsid w:val="00292EB7"/>
    <w:rsid w:val="00293DB8"/>
    <w:rsid w:val="00295CDB"/>
    <w:rsid w:val="002961E8"/>
    <w:rsid w:val="0029620E"/>
    <w:rsid w:val="00296227"/>
    <w:rsid w:val="002968CE"/>
    <w:rsid w:val="00296F44"/>
    <w:rsid w:val="002971F7"/>
    <w:rsid w:val="0029777D"/>
    <w:rsid w:val="00297CE7"/>
    <w:rsid w:val="002A055E"/>
    <w:rsid w:val="002A0588"/>
    <w:rsid w:val="002A1586"/>
    <w:rsid w:val="002A1D4E"/>
    <w:rsid w:val="002A2433"/>
    <w:rsid w:val="002A2869"/>
    <w:rsid w:val="002A30E1"/>
    <w:rsid w:val="002A3485"/>
    <w:rsid w:val="002A348D"/>
    <w:rsid w:val="002A4470"/>
    <w:rsid w:val="002A4A79"/>
    <w:rsid w:val="002A61D6"/>
    <w:rsid w:val="002A6646"/>
    <w:rsid w:val="002B040E"/>
    <w:rsid w:val="002B17BB"/>
    <w:rsid w:val="002B1C59"/>
    <w:rsid w:val="002B24D6"/>
    <w:rsid w:val="002B5D42"/>
    <w:rsid w:val="002B626A"/>
    <w:rsid w:val="002B74D0"/>
    <w:rsid w:val="002C2804"/>
    <w:rsid w:val="002C2953"/>
    <w:rsid w:val="002C2D4C"/>
    <w:rsid w:val="002C34A0"/>
    <w:rsid w:val="002C38AC"/>
    <w:rsid w:val="002C4191"/>
    <w:rsid w:val="002C41E6"/>
    <w:rsid w:val="002C4E9F"/>
    <w:rsid w:val="002D071A"/>
    <w:rsid w:val="002D1C4D"/>
    <w:rsid w:val="002D34B2"/>
    <w:rsid w:val="002D48B0"/>
    <w:rsid w:val="002D490F"/>
    <w:rsid w:val="002D5423"/>
    <w:rsid w:val="002D58AD"/>
    <w:rsid w:val="002D5B37"/>
    <w:rsid w:val="002D5E49"/>
    <w:rsid w:val="002D6010"/>
    <w:rsid w:val="002D64AE"/>
    <w:rsid w:val="002D676D"/>
    <w:rsid w:val="002D7139"/>
    <w:rsid w:val="002D7637"/>
    <w:rsid w:val="002D7E85"/>
    <w:rsid w:val="002E0D3D"/>
    <w:rsid w:val="002E17F2"/>
    <w:rsid w:val="002E2BCD"/>
    <w:rsid w:val="002E4212"/>
    <w:rsid w:val="002E4BA4"/>
    <w:rsid w:val="002E583A"/>
    <w:rsid w:val="002E5CC3"/>
    <w:rsid w:val="002E7388"/>
    <w:rsid w:val="002E76DD"/>
    <w:rsid w:val="002E7CAE"/>
    <w:rsid w:val="002F0CE3"/>
    <w:rsid w:val="002F121C"/>
    <w:rsid w:val="002F2771"/>
    <w:rsid w:val="002F37A9"/>
    <w:rsid w:val="002F4097"/>
    <w:rsid w:val="002F5755"/>
    <w:rsid w:val="002F7FE0"/>
    <w:rsid w:val="00301311"/>
    <w:rsid w:val="00301A56"/>
    <w:rsid w:val="00301CE6"/>
    <w:rsid w:val="0030221A"/>
    <w:rsid w:val="0030256B"/>
    <w:rsid w:val="0030290B"/>
    <w:rsid w:val="00303B36"/>
    <w:rsid w:val="00303D64"/>
    <w:rsid w:val="0030501F"/>
    <w:rsid w:val="00305979"/>
    <w:rsid w:val="00305EDF"/>
    <w:rsid w:val="00307BA1"/>
    <w:rsid w:val="0031162C"/>
    <w:rsid w:val="00311702"/>
    <w:rsid w:val="003118FF"/>
    <w:rsid w:val="00311E82"/>
    <w:rsid w:val="00312438"/>
    <w:rsid w:val="0031362A"/>
    <w:rsid w:val="00313B59"/>
    <w:rsid w:val="00313BBC"/>
    <w:rsid w:val="00313F4F"/>
    <w:rsid w:val="00313FD6"/>
    <w:rsid w:val="003143BD"/>
    <w:rsid w:val="00315363"/>
    <w:rsid w:val="00316BEF"/>
    <w:rsid w:val="003176FA"/>
    <w:rsid w:val="00320023"/>
    <w:rsid w:val="003203ED"/>
    <w:rsid w:val="00320D99"/>
    <w:rsid w:val="003212D6"/>
    <w:rsid w:val="0032188F"/>
    <w:rsid w:val="00321ADF"/>
    <w:rsid w:val="00322187"/>
    <w:rsid w:val="00322C9F"/>
    <w:rsid w:val="003230AA"/>
    <w:rsid w:val="003237D9"/>
    <w:rsid w:val="0032382C"/>
    <w:rsid w:val="00323A6A"/>
    <w:rsid w:val="00324A0D"/>
    <w:rsid w:val="00324D23"/>
    <w:rsid w:val="0032551E"/>
    <w:rsid w:val="00325EBC"/>
    <w:rsid w:val="003308CF"/>
    <w:rsid w:val="00331751"/>
    <w:rsid w:val="00332489"/>
    <w:rsid w:val="0033369F"/>
    <w:rsid w:val="003342F0"/>
    <w:rsid w:val="00334579"/>
    <w:rsid w:val="00334CC0"/>
    <w:rsid w:val="00335858"/>
    <w:rsid w:val="00335EAF"/>
    <w:rsid w:val="00336BDA"/>
    <w:rsid w:val="00336F85"/>
    <w:rsid w:val="003402ED"/>
    <w:rsid w:val="00341594"/>
    <w:rsid w:val="00341F06"/>
    <w:rsid w:val="00342050"/>
    <w:rsid w:val="00342201"/>
    <w:rsid w:val="00342BD7"/>
    <w:rsid w:val="003439DF"/>
    <w:rsid w:val="00345CD7"/>
    <w:rsid w:val="00346DB5"/>
    <w:rsid w:val="00346EDC"/>
    <w:rsid w:val="00347663"/>
    <w:rsid w:val="003477B1"/>
    <w:rsid w:val="00350747"/>
    <w:rsid w:val="00352500"/>
    <w:rsid w:val="00352590"/>
    <w:rsid w:val="00352622"/>
    <w:rsid w:val="0035271C"/>
    <w:rsid w:val="00353C22"/>
    <w:rsid w:val="003551C2"/>
    <w:rsid w:val="00355554"/>
    <w:rsid w:val="00357380"/>
    <w:rsid w:val="00357806"/>
    <w:rsid w:val="00357B0D"/>
    <w:rsid w:val="00357DBB"/>
    <w:rsid w:val="00357FBB"/>
    <w:rsid w:val="003602D9"/>
    <w:rsid w:val="003604CE"/>
    <w:rsid w:val="00360BFB"/>
    <w:rsid w:val="00361654"/>
    <w:rsid w:val="00362321"/>
    <w:rsid w:val="00364878"/>
    <w:rsid w:val="00365442"/>
    <w:rsid w:val="003666B0"/>
    <w:rsid w:val="00367F23"/>
    <w:rsid w:val="00370E47"/>
    <w:rsid w:val="00370F25"/>
    <w:rsid w:val="003722C4"/>
    <w:rsid w:val="00372BB6"/>
    <w:rsid w:val="003742AC"/>
    <w:rsid w:val="0037443F"/>
    <w:rsid w:val="00374ABA"/>
    <w:rsid w:val="00375FD6"/>
    <w:rsid w:val="00376B0A"/>
    <w:rsid w:val="00376C77"/>
    <w:rsid w:val="00377CE1"/>
    <w:rsid w:val="00380B48"/>
    <w:rsid w:val="00384E51"/>
    <w:rsid w:val="00384EA9"/>
    <w:rsid w:val="0038585E"/>
    <w:rsid w:val="00385BF0"/>
    <w:rsid w:val="00386143"/>
    <w:rsid w:val="0038732B"/>
    <w:rsid w:val="00387AC3"/>
    <w:rsid w:val="0039094C"/>
    <w:rsid w:val="00392526"/>
    <w:rsid w:val="003925B1"/>
    <w:rsid w:val="003932DC"/>
    <w:rsid w:val="003934A6"/>
    <w:rsid w:val="003939FF"/>
    <w:rsid w:val="00393CF2"/>
    <w:rsid w:val="00394AFF"/>
    <w:rsid w:val="0039612C"/>
    <w:rsid w:val="00397B9B"/>
    <w:rsid w:val="003A21E2"/>
    <w:rsid w:val="003A2223"/>
    <w:rsid w:val="003A281B"/>
    <w:rsid w:val="003A2A0F"/>
    <w:rsid w:val="003A2B9F"/>
    <w:rsid w:val="003A32AB"/>
    <w:rsid w:val="003A45A1"/>
    <w:rsid w:val="003A468E"/>
    <w:rsid w:val="003A4929"/>
    <w:rsid w:val="003A5B0A"/>
    <w:rsid w:val="003A6BAC"/>
    <w:rsid w:val="003A70A4"/>
    <w:rsid w:val="003A7EF3"/>
    <w:rsid w:val="003A7FED"/>
    <w:rsid w:val="003B060E"/>
    <w:rsid w:val="003B0ABF"/>
    <w:rsid w:val="003B0BE3"/>
    <w:rsid w:val="003B159C"/>
    <w:rsid w:val="003B17FA"/>
    <w:rsid w:val="003B1B8D"/>
    <w:rsid w:val="003B3457"/>
    <w:rsid w:val="003B369F"/>
    <w:rsid w:val="003B36A3"/>
    <w:rsid w:val="003B4924"/>
    <w:rsid w:val="003B4CB5"/>
    <w:rsid w:val="003B57F1"/>
    <w:rsid w:val="003B585C"/>
    <w:rsid w:val="003B64BB"/>
    <w:rsid w:val="003B77C7"/>
    <w:rsid w:val="003B7FE5"/>
    <w:rsid w:val="003C0C3E"/>
    <w:rsid w:val="003C11A7"/>
    <w:rsid w:val="003C11C8"/>
    <w:rsid w:val="003C20D7"/>
    <w:rsid w:val="003C2702"/>
    <w:rsid w:val="003C4777"/>
    <w:rsid w:val="003C4B5F"/>
    <w:rsid w:val="003C6B30"/>
    <w:rsid w:val="003C7148"/>
    <w:rsid w:val="003C7806"/>
    <w:rsid w:val="003D0B64"/>
    <w:rsid w:val="003D109F"/>
    <w:rsid w:val="003D2478"/>
    <w:rsid w:val="003D3C45"/>
    <w:rsid w:val="003D4C48"/>
    <w:rsid w:val="003D57EB"/>
    <w:rsid w:val="003D5B1F"/>
    <w:rsid w:val="003D65BC"/>
    <w:rsid w:val="003D6766"/>
    <w:rsid w:val="003D737A"/>
    <w:rsid w:val="003D79D6"/>
    <w:rsid w:val="003D7CD1"/>
    <w:rsid w:val="003E092C"/>
    <w:rsid w:val="003E0B74"/>
    <w:rsid w:val="003E15FA"/>
    <w:rsid w:val="003E4D8E"/>
    <w:rsid w:val="003E55E4"/>
    <w:rsid w:val="003E59BC"/>
    <w:rsid w:val="003E60A9"/>
    <w:rsid w:val="003E6476"/>
    <w:rsid w:val="003E660B"/>
    <w:rsid w:val="003E67E8"/>
    <w:rsid w:val="003E74E3"/>
    <w:rsid w:val="003F013E"/>
    <w:rsid w:val="003F05C7"/>
    <w:rsid w:val="003F1041"/>
    <w:rsid w:val="003F1541"/>
    <w:rsid w:val="003F25BE"/>
    <w:rsid w:val="003F2CD4"/>
    <w:rsid w:val="003F2D87"/>
    <w:rsid w:val="003F36AD"/>
    <w:rsid w:val="003F3F3E"/>
    <w:rsid w:val="003F4A0D"/>
    <w:rsid w:val="003F508A"/>
    <w:rsid w:val="003F5872"/>
    <w:rsid w:val="003F6BBE"/>
    <w:rsid w:val="003F76F9"/>
    <w:rsid w:val="004000E8"/>
    <w:rsid w:val="0040041A"/>
    <w:rsid w:val="004010DC"/>
    <w:rsid w:val="0040218F"/>
    <w:rsid w:val="00402888"/>
    <w:rsid w:val="00402E2B"/>
    <w:rsid w:val="00404DAD"/>
    <w:rsid w:val="0040512B"/>
    <w:rsid w:val="00405CA5"/>
    <w:rsid w:val="004065BE"/>
    <w:rsid w:val="004076FA"/>
    <w:rsid w:val="00407CD3"/>
    <w:rsid w:val="00410134"/>
    <w:rsid w:val="00410438"/>
    <w:rsid w:val="00410B72"/>
    <w:rsid w:val="00410F18"/>
    <w:rsid w:val="0041263E"/>
    <w:rsid w:val="00412CF9"/>
    <w:rsid w:val="00413A76"/>
    <w:rsid w:val="00413AAC"/>
    <w:rsid w:val="00413E92"/>
    <w:rsid w:val="00416169"/>
    <w:rsid w:val="00416212"/>
    <w:rsid w:val="00416222"/>
    <w:rsid w:val="0041663C"/>
    <w:rsid w:val="00420776"/>
    <w:rsid w:val="00420CED"/>
    <w:rsid w:val="00421105"/>
    <w:rsid w:val="004229D9"/>
    <w:rsid w:val="00422AA4"/>
    <w:rsid w:val="004240C3"/>
    <w:rsid w:val="0042412C"/>
    <w:rsid w:val="004242F4"/>
    <w:rsid w:val="004254A8"/>
    <w:rsid w:val="004256B8"/>
    <w:rsid w:val="00427248"/>
    <w:rsid w:val="00430389"/>
    <w:rsid w:val="00430FB1"/>
    <w:rsid w:val="00432D1E"/>
    <w:rsid w:val="00432D9B"/>
    <w:rsid w:val="00434356"/>
    <w:rsid w:val="00435F8E"/>
    <w:rsid w:val="00437447"/>
    <w:rsid w:val="00437D53"/>
    <w:rsid w:val="00441A92"/>
    <w:rsid w:val="004431DC"/>
    <w:rsid w:val="00443893"/>
    <w:rsid w:val="004447E2"/>
    <w:rsid w:val="00444F56"/>
    <w:rsid w:val="00445D5B"/>
    <w:rsid w:val="00445E01"/>
    <w:rsid w:val="00446488"/>
    <w:rsid w:val="00446958"/>
    <w:rsid w:val="004477E8"/>
    <w:rsid w:val="00447BB1"/>
    <w:rsid w:val="00450959"/>
    <w:rsid w:val="00450D69"/>
    <w:rsid w:val="004517AA"/>
    <w:rsid w:val="00451A13"/>
    <w:rsid w:val="00451AB0"/>
    <w:rsid w:val="00452CAC"/>
    <w:rsid w:val="00454126"/>
    <w:rsid w:val="004552EF"/>
    <w:rsid w:val="00456A9C"/>
    <w:rsid w:val="00457565"/>
    <w:rsid w:val="00457944"/>
    <w:rsid w:val="0045799C"/>
    <w:rsid w:val="00457B71"/>
    <w:rsid w:val="00457FF1"/>
    <w:rsid w:val="00460877"/>
    <w:rsid w:val="00460BDF"/>
    <w:rsid w:val="00461D09"/>
    <w:rsid w:val="00463D61"/>
    <w:rsid w:val="004643C6"/>
    <w:rsid w:val="00464FEE"/>
    <w:rsid w:val="00465A30"/>
    <w:rsid w:val="00465E0C"/>
    <w:rsid w:val="00466121"/>
    <w:rsid w:val="004669E2"/>
    <w:rsid w:val="004703AF"/>
    <w:rsid w:val="00470C31"/>
    <w:rsid w:val="0047105D"/>
    <w:rsid w:val="00471DE0"/>
    <w:rsid w:val="004734D0"/>
    <w:rsid w:val="00473678"/>
    <w:rsid w:val="00474A62"/>
    <w:rsid w:val="00474E7C"/>
    <w:rsid w:val="00475106"/>
    <w:rsid w:val="0047556B"/>
    <w:rsid w:val="00476050"/>
    <w:rsid w:val="00477107"/>
    <w:rsid w:val="00477768"/>
    <w:rsid w:val="00480243"/>
    <w:rsid w:val="004809ED"/>
    <w:rsid w:val="00481C73"/>
    <w:rsid w:val="00481C95"/>
    <w:rsid w:val="0048363E"/>
    <w:rsid w:val="00483DD3"/>
    <w:rsid w:val="00484314"/>
    <w:rsid w:val="0048542E"/>
    <w:rsid w:val="00485E45"/>
    <w:rsid w:val="00486076"/>
    <w:rsid w:val="004869AE"/>
    <w:rsid w:val="004877F3"/>
    <w:rsid w:val="00487C67"/>
    <w:rsid w:val="0049015F"/>
    <w:rsid w:val="00490E2F"/>
    <w:rsid w:val="0049209B"/>
    <w:rsid w:val="00492BC5"/>
    <w:rsid w:val="00493B80"/>
    <w:rsid w:val="00494E37"/>
    <w:rsid w:val="00495138"/>
    <w:rsid w:val="004964F1"/>
    <w:rsid w:val="00497023"/>
    <w:rsid w:val="00497919"/>
    <w:rsid w:val="004A0745"/>
    <w:rsid w:val="004A0F8E"/>
    <w:rsid w:val="004A1401"/>
    <w:rsid w:val="004A16BC"/>
    <w:rsid w:val="004A2448"/>
    <w:rsid w:val="004A2B94"/>
    <w:rsid w:val="004A2F11"/>
    <w:rsid w:val="004A417B"/>
    <w:rsid w:val="004A4271"/>
    <w:rsid w:val="004A65FF"/>
    <w:rsid w:val="004A70A4"/>
    <w:rsid w:val="004A793F"/>
    <w:rsid w:val="004A7B6B"/>
    <w:rsid w:val="004B05D8"/>
    <w:rsid w:val="004B20DD"/>
    <w:rsid w:val="004B2406"/>
    <w:rsid w:val="004B322A"/>
    <w:rsid w:val="004B48E6"/>
    <w:rsid w:val="004B55E4"/>
    <w:rsid w:val="004B6058"/>
    <w:rsid w:val="004B6F6A"/>
    <w:rsid w:val="004B79D1"/>
    <w:rsid w:val="004B7C0C"/>
    <w:rsid w:val="004B7C2B"/>
    <w:rsid w:val="004C0A4A"/>
    <w:rsid w:val="004C1289"/>
    <w:rsid w:val="004C1E7A"/>
    <w:rsid w:val="004C3898"/>
    <w:rsid w:val="004C3CA7"/>
    <w:rsid w:val="004C6B0C"/>
    <w:rsid w:val="004C6D9F"/>
    <w:rsid w:val="004C6F5F"/>
    <w:rsid w:val="004D19E1"/>
    <w:rsid w:val="004D2191"/>
    <w:rsid w:val="004D2AD0"/>
    <w:rsid w:val="004D36B1"/>
    <w:rsid w:val="004D419B"/>
    <w:rsid w:val="004D522D"/>
    <w:rsid w:val="004D6725"/>
    <w:rsid w:val="004D7877"/>
    <w:rsid w:val="004D7D34"/>
    <w:rsid w:val="004D7EBD"/>
    <w:rsid w:val="004E0020"/>
    <w:rsid w:val="004E1592"/>
    <w:rsid w:val="004E2110"/>
    <w:rsid w:val="004E2680"/>
    <w:rsid w:val="004E28F9"/>
    <w:rsid w:val="004E3200"/>
    <w:rsid w:val="004E364B"/>
    <w:rsid w:val="004E3DB8"/>
    <w:rsid w:val="004E42C9"/>
    <w:rsid w:val="004E462E"/>
    <w:rsid w:val="004E4AD0"/>
    <w:rsid w:val="004E56DC"/>
    <w:rsid w:val="004E5D8D"/>
    <w:rsid w:val="004E7050"/>
    <w:rsid w:val="004E76F4"/>
    <w:rsid w:val="004E77CA"/>
    <w:rsid w:val="004F02B7"/>
    <w:rsid w:val="004F0B4E"/>
    <w:rsid w:val="004F0B6C"/>
    <w:rsid w:val="004F1EE7"/>
    <w:rsid w:val="004F2078"/>
    <w:rsid w:val="004F2258"/>
    <w:rsid w:val="004F24D8"/>
    <w:rsid w:val="004F34D0"/>
    <w:rsid w:val="004F4978"/>
    <w:rsid w:val="004F4DA3"/>
    <w:rsid w:val="004F5193"/>
    <w:rsid w:val="004F5941"/>
    <w:rsid w:val="004F5F37"/>
    <w:rsid w:val="004F5F84"/>
    <w:rsid w:val="004F71D8"/>
    <w:rsid w:val="004F7CF3"/>
    <w:rsid w:val="005029D7"/>
    <w:rsid w:val="00506557"/>
    <w:rsid w:val="0050677A"/>
    <w:rsid w:val="00506FB2"/>
    <w:rsid w:val="005108D8"/>
    <w:rsid w:val="00510A5A"/>
    <w:rsid w:val="00510F51"/>
    <w:rsid w:val="005116F9"/>
    <w:rsid w:val="0051245D"/>
    <w:rsid w:val="00513D46"/>
    <w:rsid w:val="00514158"/>
    <w:rsid w:val="00514BAB"/>
    <w:rsid w:val="00514D4B"/>
    <w:rsid w:val="005153A7"/>
    <w:rsid w:val="005154FE"/>
    <w:rsid w:val="005164E1"/>
    <w:rsid w:val="0051659C"/>
    <w:rsid w:val="00516BAB"/>
    <w:rsid w:val="00521398"/>
    <w:rsid w:val="0052175D"/>
    <w:rsid w:val="005218D9"/>
    <w:rsid w:val="005219CF"/>
    <w:rsid w:val="00523E86"/>
    <w:rsid w:val="0052454F"/>
    <w:rsid w:val="00524BCC"/>
    <w:rsid w:val="00525EBA"/>
    <w:rsid w:val="00526DA4"/>
    <w:rsid w:val="005279F9"/>
    <w:rsid w:val="00531146"/>
    <w:rsid w:val="0053206E"/>
    <w:rsid w:val="00532928"/>
    <w:rsid w:val="0053334B"/>
    <w:rsid w:val="005339E8"/>
    <w:rsid w:val="00534B59"/>
    <w:rsid w:val="00534CE4"/>
    <w:rsid w:val="00535DA6"/>
    <w:rsid w:val="00535F60"/>
    <w:rsid w:val="005360F9"/>
    <w:rsid w:val="00536759"/>
    <w:rsid w:val="00536E0C"/>
    <w:rsid w:val="005379CC"/>
    <w:rsid w:val="00537C62"/>
    <w:rsid w:val="00540DB1"/>
    <w:rsid w:val="00541417"/>
    <w:rsid w:val="0054141C"/>
    <w:rsid w:val="0054241E"/>
    <w:rsid w:val="005427EF"/>
    <w:rsid w:val="00545F41"/>
    <w:rsid w:val="00546970"/>
    <w:rsid w:val="00550115"/>
    <w:rsid w:val="00550919"/>
    <w:rsid w:val="00551BCD"/>
    <w:rsid w:val="0055260C"/>
    <w:rsid w:val="0055306A"/>
    <w:rsid w:val="005543C3"/>
    <w:rsid w:val="005546D2"/>
    <w:rsid w:val="00554E19"/>
    <w:rsid w:val="005565C7"/>
    <w:rsid w:val="00560227"/>
    <w:rsid w:val="0056121F"/>
    <w:rsid w:val="00561AEF"/>
    <w:rsid w:val="00561E34"/>
    <w:rsid w:val="00562A90"/>
    <w:rsid w:val="00562B96"/>
    <w:rsid w:val="00564B89"/>
    <w:rsid w:val="00565FFB"/>
    <w:rsid w:val="0056603E"/>
    <w:rsid w:val="005662D7"/>
    <w:rsid w:val="00566781"/>
    <w:rsid w:val="0056740B"/>
    <w:rsid w:val="00567BBA"/>
    <w:rsid w:val="00567DC2"/>
    <w:rsid w:val="00567F12"/>
    <w:rsid w:val="00567FF7"/>
    <w:rsid w:val="005701C5"/>
    <w:rsid w:val="00570DDB"/>
    <w:rsid w:val="00571373"/>
    <w:rsid w:val="00572505"/>
    <w:rsid w:val="0057330C"/>
    <w:rsid w:val="00576CCF"/>
    <w:rsid w:val="005801AA"/>
    <w:rsid w:val="00580DDF"/>
    <w:rsid w:val="00582567"/>
    <w:rsid w:val="00582809"/>
    <w:rsid w:val="005831D0"/>
    <w:rsid w:val="00583709"/>
    <w:rsid w:val="00583AE6"/>
    <w:rsid w:val="005847EC"/>
    <w:rsid w:val="00585D50"/>
    <w:rsid w:val="00586A19"/>
    <w:rsid w:val="0058798C"/>
    <w:rsid w:val="005900FA"/>
    <w:rsid w:val="00590836"/>
    <w:rsid w:val="005915FD"/>
    <w:rsid w:val="00592655"/>
    <w:rsid w:val="005935A4"/>
    <w:rsid w:val="00593945"/>
    <w:rsid w:val="0059431D"/>
    <w:rsid w:val="005948C2"/>
    <w:rsid w:val="00595DCA"/>
    <w:rsid w:val="00596FF1"/>
    <w:rsid w:val="0059779B"/>
    <w:rsid w:val="005A005F"/>
    <w:rsid w:val="005A00FC"/>
    <w:rsid w:val="005A09A6"/>
    <w:rsid w:val="005A2075"/>
    <w:rsid w:val="005A209A"/>
    <w:rsid w:val="005A5654"/>
    <w:rsid w:val="005A662D"/>
    <w:rsid w:val="005A7D3B"/>
    <w:rsid w:val="005B0AD2"/>
    <w:rsid w:val="005B1188"/>
    <w:rsid w:val="005B1409"/>
    <w:rsid w:val="005B35D7"/>
    <w:rsid w:val="005B392A"/>
    <w:rsid w:val="005B3AA3"/>
    <w:rsid w:val="005B3C09"/>
    <w:rsid w:val="005B4102"/>
    <w:rsid w:val="005B6F09"/>
    <w:rsid w:val="005B6F14"/>
    <w:rsid w:val="005B6F83"/>
    <w:rsid w:val="005B71EB"/>
    <w:rsid w:val="005B7288"/>
    <w:rsid w:val="005B776F"/>
    <w:rsid w:val="005B787C"/>
    <w:rsid w:val="005B7C6D"/>
    <w:rsid w:val="005C022C"/>
    <w:rsid w:val="005C024A"/>
    <w:rsid w:val="005C0275"/>
    <w:rsid w:val="005C03FF"/>
    <w:rsid w:val="005C07C8"/>
    <w:rsid w:val="005C1744"/>
    <w:rsid w:val="005C1AB5"/>
    <w:rsid w:val="005C329A"/>
    <w:rsid w:val="005C425F"/>
    <w:rsid w:val="005C447D"/>
    <w:rsid w:val="005C4F3E"/>
    <w:rsid w:val="005C6775"/>
    <w:rsid w:val="005C6A35"/>
    <w:rsid w:val="005C74FB"/>
    <w:rsid w:val="005C7F0D"/>
    <w:rsid w:val="005D0B42"/>
    <w:rsid w:val="005D0F19"/>
    <w:rsid w:val="005D1151"/>
    <w:rsid w:val="005D1602"/>
    <w:rsid w:val="005D25D1"/>
    <w:rsid w:val="005D3C19"/>
    <w:rsid w:val="005D3C5E"/>
    <w:rsid w:val="005D3E88"/>
    <w:rsid w:val="005D4FDF"/>
    <w:rsid w:val="005D536C"/>
    <w:rsid w:val="005D5A31"/>
    <w:rsid w:val="005D68D9"/>
    <w:rsid w:val="005D790D"/>
    <w:rsid w:val="005D7CAC"/>
    <w:rsid w:val="005E0B54"/>
    <w:rsid w:val="005E12D9"/>
    <w:rsid w:val="005E1891"/>
    <w:rsid w:val="005E30CD"/>
    <w:rsid w:val="005E385F"/>
    <w:rsid w:val="005E3FFF"/>
    <w:rsid w:val="005E4986"/>
    <w:rsid w:val="005E5632"/>
    <w:rsid w:val="005E5888"/>
    <w:rsid w:val="005E5B81"/>
    <w:rsid w:val="005E6592"/>
    <w:rsid w:val="005E68DF"/>
    <w:rsid w:val="005F1345"/>
    <w:rsid w:val="005F2822"/>
    <w:rsid w:val="005F2CB1"/>
    <w:rsid w:val="005F3025"/>
    <w:rsid w:val="005F34A0"/>
    <w:rsid w:val="005F3742"/>
    <w:rsid w:val="005F4323"/>
    <w:rsid w:val="005F4DFD"/>
    <w:rsid w:val="005F618C"/>
    <w:rsid w:val="005F70BD"/>
    <w:rsid w:val="005F73C7"/>
    <w:rsid w:val="005F78B5"/>
    <w:rsid w:val="0060151F"/>
    <w:rsid w:val="006025DD"/>
    <w:rsid w:val="0060283C"/>
    <w:rsid w:val="00604F14"/>
    <w:rsid w:val="00605064"/>
    <w:rsid w:val="006100F7"/>
    <w:rsid w:val="00610C4D"/>
    <w:rsid w:val="00610FC9"/>
    <w:rsid w:val="00611B83"/>
    <w:rsid w:val="0061206A"/>
    <w:rsid w:val="0061228F"/>
    <w:rsid w:val="00613257"/>
    <w:rsid w:val="006145F1"/>
    <w:rsid w:val="00614896"/>
    <w:rsid w:val="00614E33"/>
    <w:rsid w:val="006158AD"/>
    <w:rsid w:val="00616FEB"/>
    <w:rsid w:val="00620002"/>
    <w:rsid w:val="00620A71"/>
    <w:rsid w:val="00620D80"/>
    <w:rsid w:val="00622811"/>
    <w:rsid w:val="00623256"/>
    <w:rsid w:val="006234A6"/>
    <w:rsid w:val="00624CBC"/>
    <w:rsid w:val="00625D07"/>
    <w:rsid w:val="006273E2"/>
    <w:rsid w:val="00630001"/>
    <w:rsid w:val="006311B3"/>
    <w:rsid w:val="0063155B"/>
    <w:rsid w:val="0063284C"/>
    <w:rsid w:val="00633408"/>
    <w:rsid w:val="00634F50"/>
    <w:rsid w:val="00636398"/>
    <w:rsid w:val="006368D3"/>
    <w:rsid w:val="006377EC"/>
    <w:rsid w:val="00637AB2"/>
    <w:rsid w:val="0064151F"/>
    <w:rsid w:val="00641533"/>
    <w:rsid w:val="0064208D"/>
    <w:rsid w:val="00643475"/>
    <w:rsid w:val="0064396A"/>
    <w:rsid w:val="0064422D"/>
    <w:rsid w:val="0064429B"/>
    <w:rsid w:val="0064520E"/>
    <w:rsid w:val="0064624E"/>
    <w:rsid w:val="00647389"/>
    <w:rsid w:val="006500B6"/>
    <w:rsid w:val="00650AB9"/>
    <w:rsid w:val="00650B5C"/>
    <w:rsid w:val="00650C6C"/>
    <w:rsid w:val="00654DC4"/>
    <w:rsid w:val="006553AD"/>
    <w:rsid w:val="00655733"/>
    <w:rsid w:val="00655ACD"/>
    <w:rsid w:val="006569AF"/>
    <w:rsid w:val="00656A92"/>
    <w:rsid w:val="00656DDE"/>
    <w:rsid w:val="0066011D"/>
    <w:rsid w:val="006607C0"/>
    <w:rsid w:val="006613A6"/>
    <w:rsid w:val="006619C4"/>
    <w:rsid w:val="006627A2"/>
    <w:rsid w:val="006630D8"/>
    <w:rsid w:val="006634E6"/>
    <w:rsid w:val="00663BF1"/>
    <w:rsid w:val="00664300"/>
    <w:rsid w:val="006655EE"/>
    <w:rsid w:val="00666FBA"/>
    <w:rsid w:val="00667046"/>
    <w:rsid w:val="00667EE7"/>
    <w:rsid w:val="00670922"/>
    <w:rsid w:val="00670BE1"/>
    <w:rsid w:val="0067218F"/>
    <w:rsid w:val="006737FF"/>
    <w:rsid w:val="006741F2"/>
    <w:rsid w:val="00674596"/>
    <w:rsid w:val="00674CC3"/>
    <w:rsid w:val="006752C2"/>
    <w:rsid w:val="00675C72"/>
    <w:rsid w:val="006768A3"/>
    <w:rsid w:val="006771F9"/>
    <w:rsid w:val="00677615"/>
    <w:rsid w:val="006776D7"/>
    <w:rsid w:val="00677F33"/>
    <w:rsid w:val="00680C41"/>
    <w:rsid w:val="00681003"/>
    <w:rsid w:val="006817C9"/>
    <w:rsid w:val="00681A93"/>
    <w:rsid w:val="00682491"/>
    <w:rsid w:val="006825CF"/>
    <w:rsid w:val="00683089"/>
    <w:rsid w:val="00683ECE"/>
    <w:rsid w:val="0068489A"/>
    <w:rsid w:val="00684EB6"/>
    <w:rsid w:val="0068507A"/>
    <w:rsid w:val="00685986"/>
    <w:rsid w:val="00685A87"/>
    <w:rsid w:val="00686723"/>
    <w:rsid w:val="00691740"/>
    <w:rsid w:val="00692123"/>
    <w:rsid w:val="00693FF8"/>
    <w:rsid w:val="00695FC2"/>
    <w:rsid w:val="00696949"/>
    <w:rsid w:val="00696A4F"/>
    <w:rsid w:val="00697052"/>
    <w:rsid w:val="00697181"/>
    <w:rsid w:val="00697AA2"/>
    <w:rsid w:val="006A20C2"/>
    <w:rsid w:val="006A3D9A"/>
    <w:rsid w:val="006A4215"/>
    <w:rsid w:val="006A46FB"/>
    <w:rsid w:val="006A5A3D"/>
    <w:rsid w:val="006A5E28"/>
    <w:rsid w:val="006A6710"/>
    <w:rsid w:val="006A697B"/>
    <w:rsid w:val="006A7194"/>
    <w:rsid w:val="006A71E2"/>
    <w:rsid w:val="006A7AFF"/>
    <w:rsid w:val="006B1495"/>
    <w:rsid w:val="006B1816"/>
    <w:rsid w:val="006B2099"/>
    <w:rsid w:val="006B236E"/>
    <w:rsid w:val="006B50CF"/>
    <w:rsid w:val="006C03B8"/>
    <w:rsid w:val="006C060D"/>
    <w:rsid w:val="006C1C20"/>
    <w:rsid w:val="006C1C7B"/>
    <w:rsid w:val="006C221F"/>
    <w:rsid w:val="006C2D71"/>
    <w:rsid w:val="006C3E31"/>
    <w:rsid w:val="006C41AD"/>
    <w:rsid w:val="006C457B"/>
    <w:rsid w:val="006C5EC9"/>
    <w:rsid w:val="006C5F86"/>
    <w:rsid w:val="006C6059"/>
    <w:rsid w:val="006C7522"/>
    <w:rsid w:val="006D0E91"/>
    <w:rsid w:val="006D17DE"/>
    <w:rsid w:val="006D2DC4"/>
    <w:rsid w:val="006D30C0"/>
    <w:rsid w:val="006D320E"/>
    <w:rsid w:val="006D6F08"/>
    <w:rsid w:val="006D7953"/>
    <w:rsid w:val="006E062C"/>
    <w:rsid w:val="006E071A"/>
    <w:rsid w:val="006E08DF"/>
    <w:rsid w:val="006E0DD2"/>
    <w:rsid w:val="006E1C82"/>
    <w:rsid w:val="006E28B7"/>
    <w:rsid w:val="006E2A9B"/>
    <w:rsid w:val="006E2BE4"/>
    <w:rsid w:val="006E3310"/>
    <w:rsid w:val="006E35A5"/>
    <w:rsid w:val="006E36A1"/>
    <w:rsid w:val="006E3B47"/>
    <w:rsid w:val="006E4E39"/>
    <w:rsid w:val="006E565E"/>
    <w:rsid w:val="006E5C09"/>
    <w:rsid w:val="006E5F9C"/>
    <w:rsid w:val="006E5FA0"/>
    <w:rsid w:val="006E6406"/>
    <w:rsid w:val="006E673D"/>
    <w:rsid w:val="006E6E3F"/>
    <w:rsid w:val="006E7D3B"/>
    <w:rsid w:val="006F1B70"/>
    <w:rsid w:val="006F341D"/>
    <w:rsid w:val="006F3CDE"/>
    <w:rsid w:val="006F3E16"/>
    <w:rsid w:val="006F4D6D"/>
    <w:rsid w:val="006F58D4"/>
    <w:rsid w:val="006F6582"/>
    <w:rsid w:val="00701D4A"/>
    <w:rsid w:val="007031AE"/>
    <w:rsid w:val="0070346E"/>
    <w:rsid w:val="00704EDB"/>
    <w:rsid w:val="007052D8"/>
    <w:rsid w:val="007060BF"/>
    <w:rsid w:val="00706101"/>
    <w:rsid w:val="00706132"/>
    <w:rsid w:val="00706F46"/>
    <w:rsid w:val="00707072"/>
    <w:rsid w:val="00707284"/>
    <w:rsid w:val="00707D61"/>
    <w:rsid w:val="007117E3"/>
    <w:rsid w:val="00711823"/>
    <w:rsid w:val="00712287"/>
    <w:rsid w:val="00712772"/>
    <w:rsid w:val="00713DCA"/>
    <w:rsid w:val="0071400C"/>
    <w:rsid w:val="007140E5"/>
    <w:rsid w:val="007148D3"/>
    <w:rsid w:val="00715B9A"/>
    <w:rsid w:val="00715EB1"/>
    <w:rsid w:val="00716829"/>
    <w:rsid w:val="007171CB"/>
    <w:rsid w:val="00717A4B"/>
    <w:rsid w:val="00717FCD"/>
    <w:rsid w:val="007228D1"/>
    <w:rsid w:val="00722DC2"/>
    <w:rsid w:val="00723046"/>
    <w:rsid w:val="007234F1"/>
    <w:rsid w:val="0072507B"/>
    <w:rsid w:val="00725149"/>
    <w:rsid w:val="00725422"/>
    <w:rsid w:val="00725677"/>
    <w:rsid w:val="007257D0"/>
    <w:rsid w:val="00725DB0"/>
    <w:rsid w:val="0072603B"/>
    <w:rsid w:val="007260C7"/>
    <w:rsid w:val="00726EA6"/>
    <w:rsid w:val="00727208"/>
    <w:rsid w:val="007272AE"/>
    <w:rsid w:val="00727581"/>
    <w:rsid w:val="00727680"/>
    <w:rsid w:val="00730331"/>
    <w:rsid w:val="0073075A"/>
    <w:rsid w:val="00731D8F"/>
    <w:rsid w:val="007324A2"/>
    <w:rsid w:val="0073313D"/>
    <w:rsid w:val="00733C4D"/>
    <w:rsid w:val="00733FD0"/>
    <w:rsid w:val="007348B1"/>
    <w:rsid w:val="00735186"/>
    <w:rsid w:val="00735649"/>
    <w:rsid w:val="00735819"/>
    <w:rsid w:val="007362A6"/>
    <w:rsid w:val="00736411"/>
    <w:rsid w:val="00736D7D"/>
    <w:rsid w:val="00737468"/>
    <w:rsid w:val="00740016"/>
    <w:rsid w:val="007405FB"/>
    <w:rsid w:val="00740E58"/>
    <w:rsid w:val="007417F2"/>
    <w:rsid w:val="007434CD"/>
    <w:rsid w:val="007435F5"/>
    <w:rsid w:val="00744291"/>
    <w:rsid w:val="007445A0"/>
    <w:rsid w:val="0074524B"/>
    <w:rsid w:val="007452E2"/>
    <w:rsid w:val="00747D8B"/>
    <w:rsid w:val="00751228"/>
    <w:rsid w:val="00752C5A"/>
    <w:rsid w:val="00752E43"/>
    <w:rsid w:val="0075703F"/>
    <w:rsid w:val="007571E1"/>
    <w:rsid w:val="007575A1"/>
    <w:rsid w:val="00757D90"/>
    <w:rsid w:val="007604B2"/>
    <w:rsid w:val="0076069E"/>
    <w:rsid w:val="007610F5"/>
    <w:rsid w:val="0076143E"/>
    <w:rsid w:val="00762110"/>
    <w:rsid w:val="0076383E"/>
    <w:rsid w:val="007648A7"/>
    <w:rsid w:val="00764A94"/>
    <w:rsid w:val="00765281"/>
    <w:rsid w:val="00765C5F"/>
    <w:rsid w:val="0076657C"/>
    <w:rsid w:val="00766BAD"/>
    <w:rsid w:val="0077062C"/>
    <w:rsid w:val="00770D10"/>
    <w:rsid w:val="007729A2"/>
    <w:rsid w:val="007735C3"/>
    <w:rsid w:val="00773FAD"/>
    <w:rsid w:val="00774E80"/>
    <w:rsid w:val="0077505F"/>
    <w:rsid w:val="007755F2"/>
    <w:rsid w:val="0077642F"/>
    <w:rsid w:val="00776971"/>
    <w:rsid w:val="0077790D"/>
    <w:rsid w:val="00777917"/>
    <w:rsid w:val="00780A80"/>
    <w:rsid w:val="0078109B"/>
    <w:rsid w:val="00781112"/>
    <w:rsid w:val="0078177E"/>
    <w:rsid w:val="00782521"/>
    <w:rsid w:val="00782566"/>
    <w:rsid w:val="0078282F"/>
    <w:rsid w:val="0078304C"/>
    <w:rsid w:val="00783673"/>
    <w:rsid w:val="00785490"/>
    <w:rsid w:val="00785E02"/>
    <w:rsid w:val="00787161"/>
    <w:rsid w:val="00790872"/>
    <w:rsid w:val="0079088F"/>
    <w:rsid w:val="00791833"/>
    <w:rsid w:val="007925EA"/>
    <w:rsid w:val="0079325D"/>
    <w:rsid w:val="00793485"/>
    <w:rsid w:val="00793AB0"/>
    <w:rsid w:val="00793CD8"/>
    <w:rsid w:val="00795C92"/>
    <w:rsid w:val="00796231"/>
    <w:rsid w:val="007962CB"/>
    <w:rsid w:val="00796956"/>
    <w:rsid w:val="007970BA"/>
    <w:rsid w:val="007A0E2C"/>
    <w:rsid w:val="007A1559"/>
    <w:rsid w:val="007A17E3"/>
    <w:rsid w:val="007A1806"/>
    <w:rsid w:val="007A1A17"/>
    <w:rsid w:val="007A1CB3"/>
    <w:rsid w:val="007A2C92"/>
    <w:rsid w:val="007A306F"/>
    <w:rsid w:val="007A385F"/>
    <w:rsid w:val="007A43A6"/>
    <w:rsid w:val="007A492C"/>
    <w:rsid w:val="007A58A6"/>
    <w:rsid w:val="007A7797"/>
    <w:rsid w:val="007B038D"/>
    <w:rsid w:val="007B168E"/>
    <w:rsid w:val="007B220A"/>
    <w:rsid w:val="007B24EA"/>
    <w:rsid w:val="007B308B"/>
    <w:rsid w:val="007B30F7"/>
    <w:rsid w:val="007B3D2D"/>
    <w:rsid w:val="007B50AE"/>
    <w:rsid w:val="007B51DF"/>
    <w:rsid w:val="007C05DD"/>
    <w:rsid w:val="007C0A85"/>
    <w:rsid w:val="007C18AA"/>
    <w:rsid w:val="007C1F4F"/>
    <w:rsid w:val="007C1FA8"/>
    <w:rsid w:val="007C22C5"/>
    <w:rsid w:val="007C2BBB"/>
    <w:rsid w:val="007C3D18"/>
    <w:rsid w:val="007C4266"/>
    <w:rsid w:val="007C60BF"/>
    <w:rsid w:val="007C63F0"/>
    <w:rsid w:val="007C67B9"/>
    <w:rsid w:val="007C6A07"/>
    <w:rsid w:val="007C6BC6"/>
    <w:rsid w:val="007C75A1"/>
    <w:rsid w:val="007C77A5"/>
    <w:rsid w:val="007D0416"/>
    <w:rsid w:val="007D0454"/>
    <w:rsid w:val="007D04E5"/>
    <w:rsid w:val="007D078F"/>
    <w:rsid w:val="007D1F13"/>
    <w:rsid w:val="007D3DDC"/>
    <w:rsid w:val="007D4C1E"/>
    <w:rsid w:val="007D4EE1"/>
    <w:rsid w:val="007D5810"/>
    <w:rsid w:val="007D5901"/>
    <w:rsid w:val="007D62D8"/>
    <w:rsid w:val="007D7526"/>
    <w:rsid w:val="007D754C"/>
    <w:rsid w:val="007D7A9F"/>
    <w:rsid w:val="007D7B9D"/>
    <w:rsid w:val="007E1035"/>
    <w:rsid w:val="007E15A0"/>
    <w:rsid w:val="007E18E0"/>
    <w:rsid w:val="007E1C2E"/>
    <w:rsid w:val="007E1C66"/>
    <w:rsid w:val="007E25EA"/>
    <w:rsid w:val="007E3230"/>
    <w:rsid w:val="007E3511"/>
    <w:rsid w:val="007E39AC"/>
    <w:rsid w:val="007E41F0"/>
    <w:rsid w:val="007E4610"/>
    <w:rsid w:val="007E4715"/>
    <w:rsid w:val="007E4EA4"/>
    <w:rsid w:val="007E505B"/>
    <w:rsid w:val="007E5A29"/>
    <w:rsid w:val="007E7091"/>
    <w:rsid w:val="007F15F3"/>
    <w:rsid w:val="007F271A"/>
    <w:rsid w:val="007F2C70"/>
    <w:rsid w:val="007F34F0"/>
    <w:rsid w:val="007F53E7"/>
    <w:rsid w:val="007F666A"/>
    <w:rsid w:val="007F6ADA"/>
    <w:rsid w:val="007F70DE"/>
    <w:rsid w:val="00801130"/>
    <w:rsid w:val="00801207"/>
    <w:rsid w:val="008016A3"/>
    <w:rsid w:val="00801E22"/>
    <w:rsid w:val="00802C34"/>
    <w:rsid w:val="00803937"/>
    <w:rsid w:val="00803FAE"/>
    <w:rsid w:val="00805C97"/>
    <w:rsid w:val="00805D71"/>
    <w:rsid w:val="0080605F"/>
    <w:rsid w:val="00807786"/>
    <w:rsid w:val="0081032C"/>
    <w:rsid w:val="0081099C"/>
    <w:rsid w:val="00811FCB"/>
    <w:rsid w:val="00812D69"/>
    <w:rsid w:val="0081328B"/>
    <w:rsid w:val="00814006"/>
    <w:rsid w:val="008158D6"/>
    <w:rsid w:val="0081618A"/>
    <w:rsid w:val="00817196"/>
    <w:rsid w:val="008175B4"/>
    <w:rsid w:val="0082106C"/>
    <w:rsid w:val="00821A6D"/>
    <w:rsid w:val="00821EA7"/>
    <w:rsid w:val="00822604"/>
    <w:rsid w:val="008235DB"/>
    <w:rsid w:val="00824AB4"/>
    <w:rsid w:val="00824E51"/>
    <w:rsid w:val="00825C42"/>
    <w:rsid w:val="00825D25"/>
    <w:rsid w:val="00826BCE"/>
    <w:rsid w:val="00827D6F"/>
    <w:rsid w:val="00827E29"/>
    <w:rsid w:val="0083098F"/>
    <w:rsid w:val="008328D9"/>
    <w:rsid w:val="00833B02"/>
    <w:rsid w:val="00834C85"/>
    <w:rsid w:val="00834DD5"/>
    <w:rsid w:val="00835770"/>
    <w:rsid w:val="00837668"/>
    <w:rsid w:val="008376AC"/>
    <w:rsid w:val="00840B74"/>
    <w:rsid w:val="00841089"/>
    <w:rsid w:val="008416EF"/>
    <w:rsid w:val="008418A3"/>
    <w:rsid w:val="00841F01"/>
    <w:rsid w:val="00843099"/>
    <w:rsid w:val="0084348F"/>
    <w:rsid w:val="00843F41"/>
    <w:rsid w:val="008444E8"/>
    <w:rsid w:val="00844E80"/>
    <w:rsid w:val="00844F3D"/>
    <w:rsid w:val="0084550F"/>
    <w:rsid w:val="0084577D"/>
    <w:rsid w:val="00846B0D"/>
    <w:rsid w:val="00846FE7"/>
    <w:rsid w:val="00851CFA"/>
    <w:rsid w:val="00851F99"/>
    <w:rsid w:val="00852E3F"/>
    <w:rsid w:val="008548B8"/>
    <w:rsid w:val="00854CE2"/>
    <w:rsid w:val="00855382"/>
    <w:rsid w:val="008561EE"/>
    <w:rsid w:val="00856541"/>
    <w:rsid w:val="00856911"/>
    <w:rsid w:val="0086049E"/>
    <w:rsid w:val="00861863"/>
    <w:rsid w:val="008621EB"/>
    <w:rsid w:val="00864CC2"/>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46C"/>
    <w:rsid w:val="00884DE9"/>
    <w:rsid w:val="00884F2D"/>
    <w:rsid w:val="00885185"/>
    <w:rsid w:val="00886E66"/>
    <w:rsid w:val="00887F83"/>
    <w:rsid w:val="008909CB"/>
    <w:rsid w:val="00891D11"/>
    <w:rsid w:val="008923B6"/>
    <w:rsid w:val="008930A5"/>
    <w:rsid w:val="00893C68"/>
    <w:rsid w:val="008941E3"/>
    <w:rsid w:val="0089457E"/>
    <w:rsid w:val="008948B8"/>
    <w:rsid w:val="00894A88"/>
    <w:rsid w:val="00895386"/>
    <w:rsid w:val="008959BA"/>
    <w:rsid w:val="00896870"/>
    <w:rsid w:val="0089763B"/>
    <w:rsid w:val="008976EC"/>
    <w:rsid w:val="008977C4"/>
    <w:rsid w:val="008A017E"/>
    <w:rsid w:val="008A21FF"/>
    <w:rsid w:val="008A230D"/>
    <w:rsid w:val="008A2CE2"/>
    <w:rsid w:val="008A30AC"/>
    <w:rsid w:val="008A3806"/>
    <w:rsid w:val="008A39F3"/>
    <w:rsid w:val="008A44B8"/>
    <w:rsid w:val="008A51A8"/>
    <w:rsid w:val="008A54C7"/>
    <w:rsid w:val="008A54FE"/>
    <w:rsid w:val="008A6343"/>
    <w:rsid w:val="008A6648"/>
    <w:rsid w:val="008A77D8"/>
    <w:rsid w:val="008A7CCB"/>
    <w:rsid w:val="008B0483"/>
    <w:rsid w:val="008B120C"/>
    <w:rsid w:val="008B217E"/>
    <w:rsid w:val="008B22EB"/>
    <w:rsid w:val="008B342F"/>
    <w:rsid w:val="008B3EC7"/>
    <w:rsid w:val="008B51A0"/>
    <w:rsid w:val="008B5572"/>
    <w:rsid w:val="008B592A"/>
    <w:rsid w:val="008B6BD0"/>
    <w:rsid w:val="008B6C82"/>
    <w:rsid w:val="008B7B5C"/>
    <w:rsid w:val="008B7B99"/>
    <w:rsid w:val="008C0321"/>
    <w:rsid w:val="008C098B"/>
    <w:rsid w:val="008C0C99"/>
    <w:rsid w:val="008C170B"/>
    <w:rsid w:val="008C2017"/>
    <w:rsid w:val="008C2247"/>
    <w:rsid w:val="008C2250"/>
    <w:rsid w:val="008C2B7F"/>
    <w:rsid w:val="008C33B2"/>
    <w:rsid w:val="008C3B58"/>
    <w:rsid w:val="008C3E1C"/>
    <w:rsid w:val="008C4386"/>
    <w:rsid w:val="008C4958"/>
    <w:rsid w:val="008C4BAA"/>
    <w:rsid w:val="008C4C02"/>
    <w:rsid w:val="008C59CA"/>
    <w:rsid w:val="008C5FF7"/>
    <w:rsid w:val="008C6AE8"/>
    <w:rsid w:val="008C6D9D"/>
    <w:rsid w:val="008C705C"/>
    <w:rsid w:val="008C7573"/>
    <w:rsid w:val="008C7A06"/>
    <w:rsid w:val="008D00A5"/>
    <w:rsid w:val="008D03BC"/>
    <w:rsid w:val="008D0F9B"/>
    <w:rsid w:val="008D2C43"/>
    <w:rsid w:val="008D34F1"/>
    <w:rsid w:val="008D383A"/>
    <w:rsid w:val="008D39D8"/>
    <w:rsid w:val="008D5229"/>
    <w:rsid w:val="008D614F"/>
    <w:rsid w:val="008D6D1A"/>
    <w:rsid w:val="008D7C48"/>
    <w:rsid w:val="008E065E"/>
    <w:rsid w:val="008E0927"/>
    <w:rsid w:val="008E1909"/>
    <w:rsid w:val="008E2D75"/>
    <w:rsid w:val="008E45F3"/>
    <w:rsid w:val="008E577C"/>
    <w:rsid w:val="008F0A84"/>
    <w:rsid w:val="008F1C4E"/>
    <w:rsid w:val="008F1EAB"/>
    <w:rsid w:val="008F27B5"/>
    <w:rsid w:val="008F334B"/>
    <w:rsid w:val="008F33DC"/>
    <w:rsid w:val="008F4465"/>
    <w:rsid w:val="008F477F"/>
    <w:rsid w:val="008F4EBC"/>
    <w:rsid w:val="008F5837"/>
    <w:rsid w:val="008F63FA"/>
    <w:rsid w:val="008F7187"/>
    <w:rsid w:val="009001A3"/>
    <w:rsid w:val="009022F8"/>
    <w:rsid w:val="00902350"/>
    <w:rsid w:val="00902CAF"/>
    <w:rsid w:val="0090336B"/>
    <w:rsid w:val="00904DFD"/>
    <w:rsid w:val="009053AA"/>
    <w:rsid w:val="0090579C"/>
    <w:rsid w:val="0090620C"/>
    <w:rsid w:val="00906939"/>
    <w:rsid w:val="0090797D"/>
    <w:rsid w:val="00910B7D"/>
    <w:rsid w:val="00911DFB"/>
    <w:rsid w:val="009133F4"/>
    <w:rsid w:val="009139D9"/>
    <w:rsid w:val="00914AD8"/>
    <w:rsid w:val="00915D11"/>
    <w:rsid w:val="00916079"/>
    <w:rsid w:val="00917014"/>
    <w:rsid w:val="00917CE9"/>
    <w:rsid w:val="009206CA"/>
    <w:rsid w:val="00920BF2"/>
    <w:rsid w:val="00921463"/>
    <w:rsid w:val="009214E3"/>
    <w:rsid w:val="00922010"/>
    <w:rsid w:val="00924962"/>
    <w:rsid w:val="00924CEC"/>
    <w:rsid w:val="009252D4"/>
    <w:rsid w:val="009257BF"/>
    <w:rsid w:val="00925BA0"/>
    <w:rsid w:val="00926CA2"/>
    <w:rsid w:val="009270AD"/>
    <w:rsid w:val="00930B3F"/>
    <w:rsid w:val="00930E0D"/>
    <w:rsid w:val="00931BD9"/>
    <w:rsid w:val="00932B6F"/>
    <w:rsid w:val="00932F09"/>
    <w:rsid w:val="009334A3"/>
    <w:rsid w:val="00933745"/>
    <w:rsid w:val="009340B5"/>
    <w:rsid w:val="00936667"/>
    <w:rsid w:val="009368F3"/>
    <w:rsid w:val="00936AD6"/>
    <w:rsid w:val="00937E92"/>
    <w:rsid w:val="00940C82"/>
    <w:rsid w:val="00940F64"/>
    <w:rsid w:val="00941636"/>
    <w:rsid w:val="00943296"/>
    <w:rsid w:val="00943742"/>
    <w:rsid w:val="0094376A"/>
    <w:rsid w:val="0094515A"/>
    <w:rsid w:val="00945C05"/>
    <w:rsid w:val="00946249"/>
    <w:rsid w:val="00946945"/>
    <w:rsid w:val="00947713"/>
    <w:rsid w:val="00947FFE"/>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43E"/>
    <w:rsid w:val="009708A7"/>
    <w:rsid w:val="0097139C"/>
    <w:rsid w:val="00971F08"/>
    <w:rsid w:val="009735F3"/>
    <w:rsid w:val="0097375E"/>
    <w:rsid w:val="00974F39"/>
    <w:rsid w:val="00975580"/>
    <w:rsid w:val="00975EA0"/>
    <w:rsid w:val="0097603D"/>
    <w:rsid w:val="00976949"/>
    <w:rsid w:val="00977D3E"/>
    <w:rsid w:val="00980369"/>
    <w:rsid w:val="00980477"/>
    <w:rsid w:val="00980507"/>
    <w:rsid w:val="0098140C"/>
    <w:rsid w:val="00983A66"/>
    <w:rsid w:val="0098408F"/>
    <w:rsid w:val="00984FF6"/>
    <w:rsid w:val="00985253"/>
    <w:rsid w:val="009853B3"/>
    <w:rsid w:val="00985AF9"/>
    <w:rsid w:val="00985D8E"/>
    <w:rsid w:val="0098601E"/>
    <w:rsid w:val="00990630"/>
    <w:rsid w:val="00990831"/>
    <w:rsid w:val="009916D9"/>
    <w:rsid w:val="00991761"/>
    <w:rsid w:val="00991D28"/>
    <w:rsid w:val="009936FB"/>
    <w:rsid w:val="00993E15"/>
    <w:rsid w:val="00994DCA"/>
    <w:rsid w:val="00994F2F"/>
    <w:rsid w:val="009960EC"/>
    <w:rsid w:val="009962C5"/>
    <w:rsid w:val="009970DD"/>
    <w:rsid w:val="00997FA6"/>
    <w:rsid w:val="009A05C0"/>
    <w:rsid w:val="009A0684"/>
    <w:rsid w:val="009A0FBA"/>
    <w:rsid w:val="009A1601"/>
    <w:rsid w:val="009A1A59"/>
    <w:rsid w:val="009A325C"/>
    <w:rsid w:val="009A3684"/>
    <w:rsid w:val="009A375C"/>
    <w:rsid w:val="009A3BB6"/>
    <w:rsid w:val="009A446C"/>
    <w:rsid w:val="009A455C"/>
    <w:rsid w:val="009A462D"/>
    <w:rsid w:val="009A4DB2"/>
    <w:rsid w:val="009A5CBA"/>
    <w:rsid w:val="009A7A71"/>
    <w:rsid w:val="009B0111"/>
    <w:rsid w:val="009B015F"/>
    <w:rsid w:val="009B067E"/>
    <w:rsid w:val="009B1F30"/>
    <w:rsid w:val="009B2D8E"/>
    <w:rsid w:val="009B372C"/>
    <w:rsid w:val="009B3AC2"/>
    <w:rsid w:val="009B3AF1"/>
    <w:rsid w:val="009B492B"/>
    <w:rsid w:val="009B4DF4"/>
    <w:rsid w:val="009B564E"/>
    <w:rsid w:val="009B7D74"/>
    <w:rsid w:val="009B7E87"/>
    <w:rsid w:val="009C0169"/>
    <w:rsid w:val="009C11D4"/>
    <w:rsid w:val="009C1754"/>
    <w:rsid w:val="009C296A"/>
    <w:rsid w:val="009C403E"/>
    <w:rsid w:val="009C47EC"/>
    <w:rsid w:val="009C53B9"/>
    <w:rsid w:val="009C69C7"/>
    <w:rsid w:val="009D0394"/>
    <w:rsid w:val="009D0441"/>
    <w:rsid w:val="009D3189"/>
    <w:rsid w:val="009D4CA3"/>
    <w:rsid w:val="009D4FF0"/>
    <w:rsid w:val="009D703C"/>
    <w:rsid w:val="009D718F"/>
    <w:rsid w:val="009E068F"/>
    <w:rsid w:val="009E14E0"/>
    <w:rsid w:val="009E2E39"/>
    <w:rsid w:val="009E35DB"/>
    <w:rsid w:val="009E47A3"/>
    <w:rsid w:val="009E535A"/>
    <w:rsid w:val="009E6605"/>
    <w:rsid w:val="009E6996"/>
    <w:rsid w:val="009E71EE"/>
    <w:rsid w:val="009E72C3"/>
    <w:rsid w:val="009E737F"/>
    <w:rsid w:val="009F06A5"/>
    <w:rsid w:val="009F08F3"/>
    <w:rsid w:val="009F0BD5"/>
    <w:rsid w:val="009F12DA"/>
    <w:rsid w:val="009F1C18"/>
    <w:rsid w:val="009F23D7"/>
    <w:rsid w:val="009F344F"/>
    <w:rsid w:val="009F3F68"/>
    <w:rsid w:val="009F55D4"/>
    <w:rsid w:val="009F608F"/>
    <w:rsid w:val="00A006C1"/>
    <w:rsid w:val="00A0104A"/>
    <w:rsid w:val="00A02A3C"/>
    <w:rsid w:val="00A031D8"/>
    <w:rsid w:val="00A044B8"/>
    <w:rsid w:val="00A048A8"/>
    <w:rsid w:val="00A04F49"/>
    <w:rsid w:val="00A054C7"/>
    <w:rsid w:val="00A054DD"/>
    <w:rsid w:val="00A0691C"/>
    <w:rsid w:val="00A106D1"/>
    <w:rsid w:val="00A11F28"/>
    <w:rsid w:val="00A1311D"/>
    <w:rsid w:val="00A1320D"/>
    <w:rsid w:val="00A13E54"/>
    <w:rsid w:val="00A1400F"/>
    <w:rsid w:val="00A14719"/>
    <w:rsid w:val="00A149EF"/>
    <w:rsid w:val="00A14EF6"/>
    <w:rsid w:val="00A15FFF"/>
    <w:rsid w:val="00A1627B"/>
    <w:rsid w:val="00A173CE"/>
    <w:rsid w:val="00A17A65"/>
    <w:rsid w:val="00A17E88"/>
    <w:rsid w:val="00A17F63"/>
    <w:rsid w:val="00A2012F"/>
    <w:rsid w:val="00A205B1"/>
    <w:rsid w:val="00A2193B"/>
    <w:rsid w:val="00A2268A"/>
    <w:rsid w:val="00A229ED"/>
    <w:rsid w:val="00A2351A"/>
    <w:rsid w:val="00A23D2B"/>
    <w:rsid w:val="00A23F99"/>
    <w:rsid w:val="00A264A9"/>
    <w:rsid w:val="00A26DCF"/>
    <w:rsid w:val="00A27361"/>
    <w:rsid w:val="00A27785"/>
    <w:rsid w:val="00A300E6"/>
    <w:rsid w:val="00A30187"/>
    <w:rsid w:val="00A30334"/>
    <w:rsid w:val="00A308F7"/>
    <w:rsid w:val="00A30DCD"/>
    <w:rsid w:val="00A3398A"/>
    <w:rsid w:val="00A33CA6"/>
    <w:rsid w:val="00A3448A"/>
    <w:rsid w:val="00A36297"/>
    <w:rsid w:val="00A36596"/>
    <w:rsid w:val="00A37A93"/>
    <w:rsid w:val="00A4008C"/>
    <w:rsid w:val="00A40170"/>
    <w:rsid w:val="00A40752"/>
    <w:rsid w:val="00A40E9A"/>
    <w:rsid w:val="00A41E2B"/>
    <w:rsid w:val="00A41F05"/>
    <w:rsid w:val="00A4213D"/>
    <w:rsid w:val="00A4216A"/>
    <w:rsid w:val="00A4330E"/>
    <w:rsid w:val="00A43578"/>
    <w:rsid w:val="00A43A4E"/>
    <w:rsid w:val="00A44CF7"/>
    <w:rsid w:val="00A45A2C"/>
    <w:rsid w:val="00A45B74"/>
    <w:rsid w:val="00A50419"/>
    <w:rsid w:val="00A529F5"/>
    <w:rsid w:val="00A52E1D"/>
    <w:rsid w:val="00A52FE0"/>
    <w:rsid w:val="00A5343C"/>
    <w:rsid w:val="00A54296"/>
    <w:rsid w:val="00A5561E"/>
    <w:rsid w:val="00A57B92"/>
    <w:rsid w:val="00A61499"/>
    <w:rsid w:val="00A61576"/>
    <w:rsid w:val="00A6200A"/>
    <w:rsid w:val="00A628ED"/>
    <w:rsid w:val="00A62A77"/>
    <w:rsid w:val="00A62C0F"/>
    <w:rsid w:val="00A6320E"/>
    <w:rsid w:val="00A63483"/>
    <w:rsid w:val="00A64B37"/>
    <w:rsid w:val="00A657D7"/>
    <w:rsid w:val="00A660AC"/>
    <w:rsid w:val="00A660C8"/>
    <w:rsid w:val="00A67E6C"/>
    <w:rsid w:val="00A70F47"/>
    <w:rsid w:val="00A71B99"/>
    <w:rsid w:val="00A72544"/>
    <w:rsid w:val="00A72DFF"/>
    <w:rsid w:val="00A739D0"/>
    <w:rsid w:val="00A73D45"/>
    <w:rsid w:val="00A761D4"/>
    <w:rsid w:val="00A77EC4"/>
    <w:rsid w:val="00A80CAC"/>
    <w:rsid w:val="00A80F2A"/>
    <w:rsid w:val="00A80FB3"/>
    <w:rsid w:val="00A83A83"/>
    <w:rsid w:val="00A8589C"/>
    <w:rsid w:val="00A86273"/>
    <w:rsid w:val="00A865AE"/>
    <w:rsid w:val="00A87F54"/>
    <w:rsid w:val="00A90AAE"/>
    <w:rsid w:val="00A9173A"/>
    <w:rsid w:val="00A92012"/>
    <w:rsid w:val="00A92879"/>
    <w:rsid w:val="00A92A47"/>
    <w:rsid w:val="00A93514"/>
    <w:rsid w:val="00A93729"/>
    <w:rsid w:val="00A93B59"/>
    <w:rsid w:val="00A93CC7"/>
    <w:rsid w:val="00A940E7"/>
    <w:rsid w:val="00A9442A"/>
    <w:rsid w:val="00A951CE"/>
    <w:rsid w:val="00A95A09"/>
    <w:rsid w:val="00A95D4D"/>
    <w:rsid w:val="00AA016F"/>
    <w:rsid w:val="00AA0AFE"/>
    <w:rsid w:val="00AA0E37"/>
    <w:rsid w:val="00AA1ED6"/>
    <w:rsid w:val="00AA2B37"/>
    <w:rsid w:val="00AA4EBB"/>
    <w:rsid w:val="00AA5185"/>
    <w:rsid w:val="00AA51D6"/>
    <w:rsid w:val="00AA6355"/>
    <w:rsid w:val="00AA7AD6"/>
    <w:rsid w:val="00AB05FA"/>
    <w:rsid w:val="00AB0BC8"/>
    <w:rsid w:val="00AB11CA"/>
    <w:rsid w:val="00AB14D9"/>
    <w:rsid w:val="00AB21C0"/>
    <w:rsid w:val="00AB397F"/>
    <w:rsid w:val="00AB45C8"/>
    <w:rsid w:val="00AB4AB8"/>
    <w:rsid w:val="00AB4B6E"/>
    <w:rsid w:val="00AB4D8E"/>
    <w:rsid w:val="00AB655E"/>
    <w:rsid w:val="00AB6A8B"/>
    <w:rsid w:val="00AB7BC8"/>
    <w:rsid w:val="00AC007F"/>
    <w:rsid w:val="00AC1434"/>
    <w:rsid w:val="00AC1633"/>
    <w:rsid w:val="00AC2546"/>
    <w:rsid w:val="00AC2ECD"/>
    <w:rsid w:val="00AC3119"/>
    <w:rsid w:val="00AC3D7C"/>
    <w:rsid w:val="00AC49FB"/>
    <w:rsid w:val="00AC4A1C"/>
    <w:rsid w:val="00AC5A10"/>
    <w:rsid w:val="00AC5AAF"/>
    <w:rsid w:val="00AC6B33"/>
    <w:rsid w:val="00AC6BAE"/>
    <w:rsid w:val="00AC7032"/>
    <w:rsid w:val="00AC7227"/>
    <w:rsid w:val="00AC7A9B"/>
    <w:rsid w:val="00AC7C47"/>
    <w:rsid w:val="00AD074C"/>
    <w:rsid w:val="00AD079A"/>
    <w:rsid w:val="00AD0AA3"/>
    <w:rsid w:val="00AD2ED0"/>
    <w:rsid w:val="00AD2F9E"/>
    <w:rsid w:val="00AD338C"/>
    <w:rsid w:val="00AD3F94"/>
    <w:rsid w:val="00AD490A"/>
    <w:rsid w:val="00AD4A5A"/>
    <w:rsid w:val="00AD4B6A"/>
    <w:rsid w:val="00AD5163"/>
    <w:rsid w:val="00AD6269"/>
    <w:rsid w:val="00AD7F31"/>
    <w:rsid w:val="00AE022B"/>
    <w:rsid w:val="00AE0595"/>
    <w:rsid w:val="00AE0AFA"/>
    <w:rsid w:val="00AE27AC"/>
    <w:rsid w:val="00AE3E67"/>
    <w:rsid w:val="00AE40E0"/>
    <w:rsid w:val="00AE4DBA"/>
    <w:rsid w:val="00AE4F07"/>
    <w:rsid w:val="00AE5868"/>
    <w:rsid w:val="00AE59AE"/>
    <w:rsid w:val="00AE7433"/>
    <w:rsid w:val="00AF0956"/>
    <w:rsid w:val="00AF0C4E"/>
    <w:rsid w:val="00AF1C5D"/>
    <w:rsid w:val="00AF2B01"/>
    <w:rsid w:val="00AF2EE3"/>
    <w:rsid w:val="00AF35BF"/>
    <w:rsid w:val="00AF35D2"/>
    <w:rsid w:val="00AF42D7"/>
    <w:rsid w:val="00AF43CE"/>
    <w:rsid w:val="00AF4939"/>
    <w:rsid w:val="00AF7062"/>
    <w:rsid w:val="00AF76FE"/>
    <w:rsid w:val="00B006FE"/>
    <w:rsid w:val="00B00739"/>
    <w:rsid w:val="00B007CB"/>
    <w:rsid w:val="00B018DF"/>
    <w:rsid w:val="00B01CC3"/>
    <w:rsid w:val="00B02609"/>
    <w:rsid w:val="00B02AA9"/>
    <w:rsid w:val="00B02FA3"/>
    <w:rsid w:val="00B039D8"/>
    <w:rsid w:val="00B05084"/>
    <w:rsid w:val="00B05186"/>
    <w:rsid w:val="00B05B1D"/>
    <w:rsid w:val="00B05C6A"/>
    <w:rsid w:val="00B0699F"/>
    <w:rsid w:val="00B0759B"/>
    <w:rsid w:val="00B076E0"/>
    <w:rsid w:val="00B076EB"/>
    <w:rsid w:val="00B07D75"/>
    <w:rsid w:val="00B10BEB"/>
    <w:rsid w:val="00B11161"/>
    <w:rsid w:val="00B1149F"/>
    <w:rsid w:val="00B12704"/>
    <w:rsid w:val="00B14120"/>
    <w:rsid w:val="00B157F9"/>
    <w:rsid w:val="00B1701D"/>
    <w:rsid w:val="00B17803"/>
    <w:rsid w:val="00B20256"/>
    <w:rsid w:val="00B20D09"/>
    <w:rsid w:val="00B219E0"/>
    <w:rsid w:val="00B21AF0"/>
    <w:rsid w:val="00B262EC"/>
    <w:rsid w:val="00B2763F"/>
    <w:rsid w:val="00B27A62"/>
    <w:rsid w:val="00B27AAC"/>
    <w:rsid w:val="00B3071F"/>
    <w:rsid w:val="00B30929"/>
    <w:rsid w:val="00B32AEF"/>
    <w:rsid w:val="00B36A7A"/>
    <w:rsid w:val="00B36F3D"/>
    <w:rsid w:val="00B372AA"/>
    <w:rsid w:val="00B3738A"/>
    <w:rsid w:val="00B375F6"/>
    <w:rsid w:val="00B3791E"/>
    <w:rsid w:val="00B40445"/>
    <w:rsid w:val="00B405C9"/>
    <w:rsid w:val="00B409E0"/>
    <w:rsid w:val="00B40FC3"/>
    <w:rsid w:val="00B41435"/>
    <w:rsid w:val="00B41888"/>
    <w:rsid w:val="00B44168"/>
    <w:rsid w:val="00B45A52"/>
    <w:rsid w:val="00B45BF8"/>
    <w:rsid w:val="00B45E11"/>
    <w:rsid w:val="00B46175"/>
    <w:rsid w:val="00B4778C"/>
    <w:rsid w:val="00B50864"/>
    <w:rsid w:val="00B5110E"/>
    <w:rsid w:val="00B5151C"/>
    <w:rsid w:val="00B518E6"/>
    <w:rsid w:val="00B5306E"/>
    <w:rsid w:val="00B53A10"/>
    <w:rsid w:val="00B54215"/>
    <w:rsid w:val="00B54296"/>
    <w:rsid w:val="00B548B5"/>
    <w:rsid w:val="00B548B7"/>
    <w:rsid w:val="00B55542"/>
    <w:rsid w:val="00B55D16"/>
    <w:rsid w:val="00B5660F"/>
    <w:rsid w:val="00B567B0"/>
    <w:rsid w:val="00B57515"/>
    <w:rsid w:val="00B602D6"/>
    <w:rsid w:val="00B62490"/>
    <w:rsid w:val="00B628AD"/>
    <w:rsid w:val="00B63008"/>
    <w:rsid w:val="00B63039"/>
    <w:rsid w:val="00B63874"/>
    <w:rsid w:val="00B63DE6"/>
    <w:rsid w:val="00B642B1"/>
    <w:rsid w:val="00B664C7"/>
    <w:rsid w:val="00B6736A"/>
    <w:rsid w:val="00B674D3"/>
    <w:rsid w:val="00B70A5C"/>
    <w:rsid w:val="00B70C32"/>
    <w:rsid w:val="00B71C8E"/>
    <w:rsid w:val="00B739F6"/>
    <w:rsid w:val="00B73C52"/>
    <w:rsid w:val="00B74756"/>
    <w:rsid w:val="00B74AB0"/>
    <w:rsid w:val="00B74E5A"/>
    <w:rsid w:val="00B75C9E"/>
    <w:rsid w:val="00B7608E"/>
    <w:rsid w:val="00B7783A"/>
    <w:rsid w:val="00B81A6C"/>
    <w:rsid w:val="00B82A54"/>
    <w:rsid w:val="00B82DE5"/>
    <w:rsid w:val="00B82F2B"/>
    <w:rsid w:val="00B831AC"/>
    <w:rsid w:val="00B83F10"/>
    <w:rsid w:val="00B84FEC"/>
    <w:rsid w:val="00B85DE5"/>
    <w:rsid w:val="00B86125"/>
    <w:rsid w:val="00B86997"/>
    <w:rsid w:val="00B90F73"/>
    <w:rsid w:val="00B921A9"/>
    <w:rsid w:val="00B9288D"/>
    <w:rsid w:val="00B93B59"/>
    <w:rsid w:val="00B9406A"/>
    <w:rsid w:val="00B943EB"/>
    <w:rsid w:val="00B945B7"/>
    <w:rsid w:val="00B949A5"/>
    <w:rsid w:val="00B97100"/>
    <w:rsid w:val="00B9738C"/>
    <w:rsid w:val="00B97B5A"/>
    <w:rsid w:val="00BA0797"/>
    <w:rsid w:val="00BA0EE7"/>
    <w:rsid w:val="00BA17EC"/>
    <w:rsid w:val="00BA2280"/>
    <w:rsid w:val="00BA2539"/>
    <w:rsid w:val="00BA253E"/>
    <w:rsid w:val="00BA2A08"/>
    <w:rsid w:val="00BA2A8B"/>
    <w:rsid w:val="00BA434A"/>
    <w:rsid w:val="00BA4778"/>
    <w:rsid w:val="00BA4B72"/>
    <w:rsid w:val="00BA4F76"/>
    <w:rsid w:val="00BA56D2"/>
    <w:rsid w:val="00BA76E0"/>
    <w:rsid w:val="00BB1123"/>
    <w:rsid w:val="00BB1C1C"/>
    <w:rsid w:val="00BB1C58"/>
    <w:rsid w:val="00BB2A25"/>
    <w:rsid w:val="00BB3394"/>
    <w:rsid w:val="00BB34A9"/>
    <w:rsid w:val="00BB40FF"/>
    <w:rsid w:val="00BB51E9"/>
    <w:rsid w:val="00BB64BD"/>
    <w:rsid w:val="00BB7569"/>
    <w:rsid w:val="00BB7A57"/>
    <w:rsid w:val="00BC0101"/>
    <w:rsid w:val="00BC0511"/>
    <w:rsid w:val="00BC0FDC"/>
    <w:rsid w:val="00BC1E0A"/>
    <w:rsid w:val="00BC3053"/>
    <w:rsid w:val="00BC4D2E"/>
    <w:rsid w:val="00BC62C0"/>
    <w:rsid w:val="00BC748D"/>
    <w:rsid w:val="00BD0A35"/>
    <w:rsid w:val="00BD3218"/>
    <w:rsid w:val="00BD48AC"/>
    <w:rsid w:val="00BD4D4D"/>
    <w:rsid w:val="00BD508A"/>
    <w:rsid w:val="00BD539E"/>
    <w:rsid w:val="00BD5F1A"/>
    <w:rsid w:val="00BD7039"/>
    <w:rsid w:val="00BE1082"/>
    <w:rsid w:val="00BE1234"/>
    <w:rsid w:val="00BE2FA6"/>
    <w:rsid w:val="00BE333F"/>
    <w:rsid w:val="00BE42E9"/>
    <w:rsid w:val="00BE4AE0"/>
    <w:rsid w:val="00BE4D9B"/>
    <w:rsid w:val="00BE6A5F"/>
    <w:rsid w:val="00BE6E8D"/>
    <w:rsid w:val="00BE7204"/>
    <w:rsid w:val="00BE7406"/>
    <w:rsid w:val="00BE7603"/>
    <w:rsid w:val="00BE7771"/>
    <w:rsid w:val="00BF03E8"/>
    <w:rsid w:val="00BF1B46"/>
    <w:rsid w:val="00BF3279"/>
    <w:rsid w:val="00BF38FD"/>
    <w:rsid w:val="00BF42D5"/>
    <w:rsid w:val="00BF55B7"/>
    <w:rsid w:val="00BF74C7"/>
    <w:rsid w:val="00C00A0B"/>
    <w:rsid w:val="00C00BED"/>
    <w:rsid w:val="00C015F1"/>
    <w:rsid w:val="00C01F33"/>
    <w:rsid w:val="00C02A2F"/>
    <w:rsid w:val="00C02CC6"/>
    <w:rsid w:val="00C03547"/>
    <w:rsid w:val="00C03A8B"/>
    <w:rsid w:val="00C040F7"/>
    <w:rsid w:val="00C044AB"/>
    <w:rsid w:val="00C05706"/>
    <w:rsid w:val="00C05868"/>
    <w:rsid w:val="00C0719F"/>
    <w:rsid w:val="00C07377"/>
    <w:rsid w:val="00C10478"/>
    <w:rsid w:val="00C10DAF"/>
    <w:rsid w:val="00C11B57"/>
    <w:rsid w:val="00C12107"/>
    <w:rsid w:val="00C14D4B"/>
    <w:rsid w:val="00C14E44"/>
    <w:rsid w:val="00C1512D"/>
    <w:rsid w:val="00C154BB"/>
    <w:rsid w:val="00C17EDA"/>
    <w:rsid w:val="00C21261"/>
    <w:rsid w:val="00C22243"/>
    <w:rsid w:val="00C25467"/>
    <w:rsid w:val="00C256F8"/>
    <w:rsid w:val="00C25702"/>
    <w:rsid w:val="00C279B5"/>
    <w:rsid w:val="00C27C45"/>
    <w:rsid w:val="00C32FC3"/>
    <w:rsid w:val="00C33948"/>
    <w:rsid w:val="00C3719D"/>
    <w:rsid w:val="00C37CB2"/>
    <w:rsid w:val="00C4316F"/>
    <w:rsid w:val="00C46298"/>
    <w:rsid w:val="00C473A5"/>
    <w:rsid w:val="00C5044B"/>
    <w:rsid w:val="00C53737"/>
    <w:rsid w:val="00C53E5D"/>
    <w:rsid w:val="00C5419E"/>
    <w:rsid w:val="00C54995"/>
    <w:rsid w:val="00C54B41"/>
    <w:rsid w:val="00C54D41"/>
    <w:rsid w:val="00C579AC"/>
    <w:rsid w:val="00C60093"/>
    <w:rsid w:val="00C60783"/>
    <w:rsid w:val="00C60F74"/>
    <w:rsid w:val="00C624C8"/>
    <w:rsid w:val="00C627D9"/>
    <w:rsid w:val="00C631D1"/>
    <w:rsid w:val="00C63C74"/>
    <w:rsid w:val="00C64672"/>
    <w:rsid w:val="00C6763B"/>
    <w:rsid w:val="00C67BB9"/>
    <w:rsid w:val="00C70397"/>
    <w:rsid w:val="00C70697"/>
    <w:rsid w:val="00C714DE"/>
    <w:rsid w:val="00C7152D"/>
    <w:rsid w:val="00C72093"/>
    <w:rsid w:val="00C72EF4"/>
    <w:rsid w:val="00C7315A"/>
    <w:rsid w:val="00C744FE"/>
    <w:rsid w:val="00C7452B"/>
    <w:rsid w:val="00C7492F"/>
    <w:rsid w:val="00C754C6"/>
    <w:rsid w:val="00C7594C"/>
    <w:rsid w:val="00C75D2F"/>
    <w:rsid w:val="00C767BE"/>
    <w:rsid w:val="00C76E3C"/>
    <w:rsid w:val="00C8094D"/>
    <w:rsid w:val="00C80D7E"/>
    <w:rsid w:val="00C8117E"/>
    <w:rsid w:val="00C8133E"/>
    <w:rsid w:val="00C81568"/>
    <w:rsid w:val="00C822FF"/>
    <w:rsid w:val="00C82A8C"/>
    <w:rsid w:val="00C82CCF"/>
    <w:rsid w:val="00C82FEC"/>
    <w:rsid w:val="00C8320A"/>
    <w:rsid w:val="00C836D8"/>
    <w:rsid w:val="00C83E62"/>
    <w:rsid w:val="00C85DA0"/>
    <w:rsid w:val="00C8640D"/>
    <w:rsid w:val="00C9027A"/>
    <w:rsid w:val="00C9068E"/>
    <w:rsid w:val="00C93814"/>
    <w:rsid w:val="00C93C4B"/>
    <w:rsid w:val="00C94300"/>
    <w:rsid w:val="00C9449D"/>
    <w:rsid w:val="00C944AB"/>
    <w:rsid w:val="00C94B1B"/>
    <w:rsid w:val="00C95B40"/>
    <w:rsid w:val="00C97EBF"/>
    <w:rsid w:val="00CA0D3A"/>
    <w:rsid w:val="00CA0E56"/>
    <w:rsid w:val="00CA1ED8"/>
    <w:rsid w:val="00CA26BA"/>
    <w:rsid w:val="00CA40AC"/>
    <w:rsid w:val="00CA4D57"/>
    <w:rsid w:val="00CA7542"/>
    <w:rsid w:val="00CA779C"/>
    <w:rsid w:val="00CB1205"/>
    <w:rsid w:val="00CB1F63"/>
    <w:rsid w:val="00CB3114"/>
    <w:rsid w:val="00CB3155"/>
    <w:rsid w:val="00CB3AFC"/>
    <w:rsid w:val="00CB7170"/>
    <w:rsid w:val="00CB798D"/>
    <w:rsid w:val="00CC040E"/>
    <w:rsid w:val="00CC111F"/>
    <w:rsid w:val="00CC1BB4"/>
    <w:rsid w:val="00CC2011"/>
    <w:rsid w:val="00CC3BFA"/>
    <w:rsid w:val="00CC3EA0"/>
    <w:rsid w:val="00CC46F3"/>
    <w:rsid w:val="00CC5519"/>
    <w:rsid w:val="00CC7B45"/>
    <w:rsid w:val="00CC7DC0"/>
    <w:rsid w:val="00CD0448"/>
    <w:rsid w:val="00CD0709"/>
    <w:rsid w:val="00CD098A"/>
    <w:rsid w:val="00CD1188"/>
    <w:rsid w:val="00CD24CA"/>
    <w:rsid w:val="00CD2ED1"/>
    <w:rsid w:val="00CD337B"/>
    <w:rsid w:val="00CD4619"/>
    <w:rsid w:val="00CE0424"/>
    <w:rsid w:val="00CE0584"/>
    <w:rsid w:val="00CE0BF7"/>
    <w:rsid w:val="00CE1884"/>
    <w:rsid w:val="00CE210F"/>
    <w:rsid w:val="00CE28CA"/>
    <w:rsid w:val="00CE4246"/>
    <w:rsid w:val="00CE45CD"/>
    <w:rsid w:val="00CE50CF"/>
    <w:rsid w:val="00CE5384"/>
    <w:rsid w:val="00CE738F"/>
    <w:rsid w:val="00CE7561"/>
    <w:rsid w:val="00CE7EE4"/>
    <w:rsid w:val="00CE7FE3"/>
    <w:rsid w:val="00CF01F4"/>
    <w:rsid w:val="00CF08A4"/>
    <w:rsid w:val="00CF0A6D"/>
    <w:rsid w:val="00CF1354"/>
    <w:rsid w:val="00CF1FF9"/>
    <w:rsid w:val="00CF303D"/>
    <w:rsid w:val="00CF395F"/>
    <w:rsid w:val="00CF3B1F"/>
    <w:rsid w:val="00CF3B69"/>
    <w:rsid w:val="00CF3BF6"/>
    <w:rsid w:val="00CF3F81"/>
    <w:rsid w:val="00CF42C0"/>
    <w:rsid w:val="00CF47E8"/>
    <w:rsid w:val="00CF5088"/>
    <w:rsid w:val="00CF625B"/>
    <w:rsid w:val="00CF687E"/>
    <w:rsid w:val="00D01417"/>
    <w:rsid w:val="00D0256F"/>
    <w:rsid w:val="00D0349B"/>
    <w:rsid w:val="00D03922"/>
    <w:rsid w:val="00D10249"/>
    <w:rsid w:val="00D10FED"/>
    <w:rsid w:val="00D115C3"/>
    <w:rsid w:val="00D11897"/>
    <w:rsid w:val="00D12B9D"/>
    <w:rsid w:val="00D13135"/>
    <w:rsid w:val="00D133AF"/>
    <w:rsid w:val="00D134F0"/>
    <w:rsid w:val="00D13C39"/>
    <w:rsid w:val="00D13E4E"/>
    <w:rsid w:val="00D1534B"/>
    <w:rsid w:val="00D174FC"/>
    <w:rsid w:val="00D20B95"/>
    <w:rsid w:val="00D21461"/>
    <w:rsid w:val="00D2171A"/>
    <w:rsid w:val="00D21882"/>
    <w:rsid w:val="00D22E82"/>
    <w:rsid w:val="00D232A9"/>
    <w:rsid w:val="00D239A7"/>
    <w:rsid w:val="00D23F47"/>
    <w:rsid w:val="00D2431F"/>
    <w:rsid w:val="00D252F0"/>
    <w:rsid w:val="00D2627D"/>
    <w:rsid w:val="00D308C9"/>
    <w:rsid w:val="00D30C9B"/>
    <w:rsid w:val="00D32DE6"/>
    <w:rsid w:val="00D32FEA"/>
    <w:rsid w:val="00D3341B"/>
    <w:rsid w:val="00D34953"/>
    <w:rsid w:val="00D35BE2"/>
    <w:rsid w:val="00D36E71"/>
    <w:rsid w:val="00D37D87"/>
    <w:rsid w:val="00D40B33"/>
    <w:rsid w:val="00D4318F"/>
    <w:rsid w:val="00D438BF"/>
    <w:rsid w:val="00D43BE3"/>
    <w:rsid w:val="00D43F6F"/>
    <w:rsid w:val="00D440F8"/>
    <w:rsid w:val="00D44431"/>
    <w:rsid w:val="00D444CC"/>
    <w:rsid w:val="00D44874"/>
    <w:rsid w:val="00D45964"/>
    <w:rsid w:val="00D47F23"/>
    <w:rsid w:val="00D50AA0"/>
    <w:rsid w:val="00D510A0"/>
    <w:rsid w:val="00D51459"/>
    <w:rsid w:val="00D51D31"/>
    <w:rsid w:val="00D527FB"/>
    <w:rsid w:val="00D53582"/>
    <w:rsid w:val="00D546FF"/>
    <w:rsid w:val="00D5521A"/>
    <w:rsid w:val="00D55485"/>
    <w:rsid w:val="00D55AD5"/>
    <w:rsid w:val="00D55FD1"/>
    <w:rsid w:val="00D576CA"/>
    <w:rsid w:val="00D57BAA"/>
    <w:rsid w:val="00D61AF5"/>
    <w:rsid w:val="00D6223C"/>
    <w:rsid w:val="00D62A3C"/>
    <w:rsid w:val="00D62F47"/>
    <w:rsid w:val="00D6426E"/>
    <w:rsid w:val="00D652B5"/>
    <w:rsid w:val="00D65D4C"/>
    <w:rsid w:val="00D66155"/>
    <w:rsid w:val="00D67246"/>
    <w:rsid w:val="00D67741"/>
    <w:rsid w:val="00D67D33"/>
    <w:rsid w:val="00D708B0"/>
    <w:rsid w:val="00D70FD8"/>
    <w:rsid w:val="00D71013"/>
    <w:rsid w:val="00D7121A"/>
    <w:rsid w:val="00D714EF"/>
    <w:rsid w:val="00D71DE2"/>
    <w:rsid w:val="00D72760"/>
    <w:rsid w:val="00D7281A"/>
    <w:rsid w:val="00D74B7E"/>
    <w:rsid w:val="00D77B1D"/>
    <w:rsid w:val="00D8021F"/>
    <w:rsid w:val="00D802A7"/>
    <w:rsid w:val="00D80383"/>
    <w:rsid w:val="00D812EF"/>
    <w:rsid w:val="00D818C9"/>
    <w:rsid w:val="00D823C6"/>
    <w:rsid w:val="00D82FFB"/>
    <w:rsid w:val="00D8327F"/>
    <w:rsid w:val="00D833A9"/>
    <w:rsid w:val="00D833C8"/>
    <w:rsid w:val="00D83449"/>
    <w:rsid w:val="00D83ABB"/>
    <w:rsid w:val="00D855D3"/>
    <w:rsid w:val="00D86CA3"/>
    <w:rsid w:val="00D86F87"/>
    <w:rsid w:val="00D871CE"/>
    <w:rsid w:val="00D87587"/>
    <w:rsid w:val="00D90287"/>
    <w:rsid w:val="00D9081C"/>
    <w:rsid w:val="00D9196D"/>
    <w:rsid w:val="00D919F6"/>
    <w:rsid w:val="00D92063"/>
    <w:rsid w:val="00D92067"/>
    <w:rsid w:val="00D922AF"/>
    <w:rsid w:val="00D92707"/>
    <w:rsid w:val="00D92982"/>
    <w:rsid w:val="00D92E8C"/>
    <w:rsid w:val="00D95785"/>
    <w:rsid w:val="00DA025F"/>
    <w:rsid w:val="00DA13BA"/>
    <w:rsid w:val="00DA1465"/>
    <w:rsid w:val="00DA184A"/>
    <w:rsid w:val="00DA192E"/>
    <w:rsid w:val="00DA22A1"/>
    <w:rsid w:val="00DA28EC"/>
    <w:rsid w:val="00DA305E"/>
    <w:rsid w:val="00DA369F"/>
    <w:rsid w:val="00DA3DC9"/>
    <w:rsid w:val="00DA4E95"/>
    <w:rsid w:val="00DA5417"/>
    <w:rsid w:val="00DA56E8"/>
    <w:rsid w:val="00DA631E"/>
    <w:rsid w:val="00DA668E"/>
    <w:rsid w:val="00DA6E38"/>
    <w:rsid w:val="00DA7474"/>
    <w:rsid w:val="00DA76A8"/>
    <w:rsid w:val="00DA7BF0"/>
    <w:rsid w:val="00DA7DA2"/>
    <w:rsid w:val="00DB0743"/>
    <w:rsid w:val="00DB0A9F"/>
    <w:rsid w:val="00DB14C1"/>
    <w:rsid w:val="00DB350F"/>
    <w:rsid w:val="00DB3592"/>
    <w:rsid w:val="00DB3720"/>
    <w:rsid w:val="00DB377D"/>
    <w:rsid w:val="00DB4BD6"/>
    <w:rsid w:val="00DB5150"/>
    <w:rsid w:val="00DB567C"/>
    <w:rsid w:val="00DB5780"/>
    <w:rsid w:val="00DB5F14"/>
    <w:rsid w:val="00DB73CC"/>
    <w:rsid w:val="00DB75C3"/>
    <w:rsid w:val="00DC005C"/>
    <w:rsid w:val="00DC11B1"/>
    <w:rsid w:val="00DC19EF"/>
    <w:rsid w:val="00DC266B"/>
    <w:rsid w:val="00DC2D36"/>
    <w:rsid w:val="00DC3285"/>
    <w:rsid w:val="00DC3459"/>
    <w:rsid w:val="00DC4058"/>
    <w:rsid w:val="00DC494D"/>
    <w:rsid w:val="00DC5317"/>
    <w:rsid w:val="00DC5337"/>
    <w:rsid w:val="00DC53EF"/>
    <w:rsid w:val="00DC575B"/>
    <w:rsid w:val="00DC58B4"/>
    <w:rsid w:val="00DC624C"/>
    <w:rsid w:val="00DC6E88"/>
    <w:rsid w:val="00DC7337"/>
    <w:rsid w:val="00DD0E34"/>
    <w:rsid w:val="00DD1DA5"/>
    <w:rsid w:val="00DD3863"/>
    <w:rsid w:val="00DD597E"/>
    <w:rsid w:val="00DD63B4"/>
    <w:rsid w:val="00DD7E22"/>
    <w:rsid w:val="00DE1C28"/>
    <w:rsid w:val="00DE4540"/>
    <w:rsid w:val="00DE49EE"/>
    <w:rsid w:val="00DE5608"/>
    <w:rsid w:val="00DE58D0"/>
    <w:rsid w:val="00DE618A"/>
    <w:rsid w:val="00DE654F"/>
    <w:rsid w:val="00DF01EA"/>
    <w:rsid w:val="00DF079D"/>
    <w:rsid w:val="00DF0B6E"/>
    <w:rsid w:val="00DF15E0"/>
    <w:rsid w:val="00DF316A"/>
    <w:rsid w:val="00DF37A0"/>
    <w:rsid w:val="00DF43D2"/>
    <w:rsid w:val="00DF440B"/>
    <w:rsid w:val="00DF4ABC"/>
    <w:rsid w:val="00DF5C92"/>
    <w:rsid w:val="00E035B9"/>
    <w:rsid w:val="00E0436E"/>
    <w:rsid w:val="00E045BC"/>
    <w:rsid w:val="00E062FA"/>
    <w:rsid w:val="00E06982"/>
    <w:rsid w:val="00E06BDC"/>
    <w:rsid w:val="00E110E7"/>
    <w:rsid w:val="00E1121C"/>
    <w:rsid w:val="00E11B20"/>
    <w:rsid w:val="00E11B37"/>
    <w:rsid w:val="00E14268"/>
    <w:rsid w:val="00E146FF"/>
    <w:rsid w:val="00E14AB1"/>
    <w:rsid w:val="00E16D0C"/>
    <w:rsid w:val="00E17FA2"/>
    <w:rsid w:val="00E20013"/>
    <w:rsid w:val="00E218D0"/>
    <w:rsid w:val="00E22330"/>
    <w:rsid w:val="00E22B3C"/>
    <w:rsid w:val="00E23C8F"/>
    <w:rsid w:val="00E244FA"/>
    <w:rsid w:val="00E25F46"/>
    <w:rsid w:val="00E26572"/>
    <w:rsid w:val="00E27470"/>
    <w:rsid w:val="00E30B5A"/>
    <w:rsid w:val="00E30D47"/>
    <w:rsid w:val="00E3123D"/>
    <w:rsid w:val="00E3126F"/>
    <w:rsid w:val="00E313AB"/>
    <w:rsid w:val="00E31461"/>
    <w:rsid w:val="00E31D43"/>
    <w:rsid w:val="00E321C3"/>
    <w:rsid w:val="00E32608"/>
    <w:rsid w:val="00E32EE6"/>
    <w:rsid w:val="00E338AB"/>
    <w:rsid w:val="00E34188"/>
    <w:rsid w:val="00E34B6E"/>
    <w:rsid w:val="00E35559"/>
    <w:rsid w:val="00E3599F"/>
    <w:rsid w:val="00E360F5"/>
    <w:rsid w:val="00E3723A"/>
    <w:rsid w:val="00E37716"/>
    <w:rsid w:val="00E37860"/>
    <w:rsid w:val="00E41FC4"/>
    <w:rsid w:val="00E42302"/>
    <w:rsid w:val="00E428F6"/>
    <w:rsid w:val="00E431C4"/>
    <w:rsid w:val="00E44286"/>
    <w:rsid w:val="00E446F1"/>
    <w:rsid w:val="00E467ED"/>
    <w:rsid w:val="00E46886"/>
    <w:rsid w:val="00E46B31"/>
    <w:rsid w:val="00E46E7E"/>
    <w:rsid w:val="00E47306"/>
    <w:rsid w:val="00E473A3"/>
    <w:rsid w:val="00E4777F"/>
    <w:rsid w:val="00E47AEF"/>
    <w:rsid w:val="00E50BE9"/>
    <w:rsid w:val="00E52781"/>
    <w:rsid w:val="00E52A6B"/>
    <w:rsid w:val="00E53841"/>
    <w:rsid w:val="00E53B75"/>
    <w:rsid w:val="00E54E3B"/>
    <w:rsid w:val="00E5545B"/>
    <w:rsid w:val="00E57565"/>
    <w:rsid w:val="00E6141C"/>
    <w:rsid w:val="00E627DD"/>
    <w:rsid w:val="00E63838"/>
    <w:rsid w:val="00E63BBA"/>
    <w:rsid w:val="00E64434"/>
    <w:rsid w:val="00E647CC"/>
    <w:rsid w:val="00E64C77"/>
    <w:rsid w:val="00E6518D"/>
    <w:rsid w:val="00E67C51"/>
    <w:rsid w:val="00E7243C"/>
    <w:rsid w:val="00E727B7"/>
    <w:rsid w:val="00E72A90"/>
    <w:rsid w:val="00E72EFC"/>
    <w:rsid w:val="00E74390"/>
    <w:rsid w:val="00E7465C"/>
    <w:rsid w:val="00E74FB7"/>
    <w:rsid w:val="00E758EC"/>
    <w:rsid w:val="00E75916"/>
    <w:rsid w:val="00E75FB2"/>
    <w:rsid w:val="00E80ACA"/>
    <w:rsid w:val="00E8126D"/>
    <w:rsid w:val="00E821DE"/>
    <w:rsid w:val="00E8234C"/>
    <w:rsid w:val="00E83AA9"/>
    <w:rsid w:val="00E84061"/>
    <w:rsid w:val="00E84404"/>
    <w:rsid w:val="00E855C8"/>
    <w:rsid w:val="00E85654"/>
    <w:rsid w:val="00E85928"/>
    <w:rsid w:val="00E85FE2"/>
    <w:rsid w:val="00E87243"/>
    <w:rsid w:val="00E87822"/>
    <w:rsid w:val="00E90395"/>
    <w:rsid w:val="00E90B32"/>
    <w:rsid w:val="00E90E49"/>
    <w:rsid w:val="00E917F9"/>
    <w:rsid w:val="00E920B7"/>
    <w:rsid w:val="00E9291C"/>
    <w:rsid w:val="00E92E6B"/>
    <w:rsid w:val="00E93FC6"/>
    <w:rsid w:val="00E93FFE"/>
    <w:rsid w:val="00E940AC"/>
    <w:rsid w:val="00E94F8A"/>
    <w:rsid w:val="00E95A18"/>
    <w:rsid w:val="00E97F74"/>
    <w:rsid w:val="00EA07FF"/>
    <w:rsid w:val="00EA1229"/>
    <w:rsid w:val="00EA132A"/>
    <w:rsid w:val="00EA2723"/>
    <w:rsid w:val="00EA2877"/>
    <w:rsid w:val="00EA3E85"/>
    <w:rsid w:val="00EA47AF"/>
    <w:rsid w:val="00EA7A41"/>
    <w:rsid w:val="00EB027A"/>
    <w:rsid w:val="00EB077B"/>
    <w:rsid w:val="00EB097F"/>
    <w:rsid w:val="00EB3F74"/>
    <w:rsid w:val="00EB4AB3"/>
    <w:rsid w:val="00EB4EA2"/>
    <w:rsid w:val="00EB5723"/>
    <w:rsid w:val="00EB6591"/>
    <w:rsid w:val="00EB6D87"/>
    <w:rsid w:val="00EB7619"/>
    <w:rsid w:val="00EB7AC2"/>
    <w:rsid w:val="00EC094D"/>
    <w:rsid w:val="00EC0AD6"/>
    <w:rsid w:val="00EC1F9E"/>
    <w:rsid w:val="00EC24D5"/>
    <w:rsid w:val="00EC27C6"/>
    <w:rsid w:val="00EC2BEB"/>
    <w:rsid w:val="00EC3D25"/>
    <w:rsid w:val="00EC4207"/>
    <w:rsid w:val="00EC4A0A"/>
    <w:rsid w:val="00EC5653"/>
    <w:rsid w:val="00EC6113"/>
    <w:rsid w:val="00EC6B83"/>
    <w:rsid w:val="00EC70FC"/>
    <w:rsid w:val="00EC71CE"/>
    <w:rsid w:val="00ED0C87"/>
    <w:rsid w:val="00ED1006"/>
    <w:rsid w:val="00ED2684"/>
    <w:rsid w:val="00ED7335"/>
    <w:rsid w:val="00ED746F"/>
    <w:rsid w:val="00ED77EB"/>
    <w:rsid w:val="00ED7F88"/>
    <w:rsid w:val="00EE1DA8"/>
    <w:rsid w:val="00EE2729"/>
    <w:rsid w:val="00EE335D"/>
    <w:rsid w:val="00EE3873"/>
    <w:rsid w:val="00EE53EE"/>
    <w:rsid w:val="00EE564D"/>
    <w:rsid w:val="00EE69AF"/>
    <w:rsid w:val="00EE6B0C"/>
    <w:rsid w:val="00EE6D3F"/>
    <w:rsid w:val="00EE7CE3"/>
    <w:rsid w:val="00EF18FE"/>
    <w:rsid w:val="00EF2461"/>
    <w:rsid w:val="00EF4276"/>
    <w:rsid w:val="00EF4528"/>
    <w:rsid w:val="00EF4B41"/>
    <w:rsid w:val="00EF4D22"/>
    <w:rsid w:val="00EF4F6F"/>
    <w:rsid w:val="00EF5787"/>
    <w:rsid w:val="00EF60D0"/>
    <w:rsid w:val="00EF616B"/>
    <w:rsid w:val="00EF7759"/>
    <w:rsid w:val="00F00926"/>
    <w:rsid w:val="00F00B3D"/>
    <w:rsid w:val="00F00F62"/>
    <w:rsid w:val="00F01181"/>
    <w:rsid w:val="00F01DB3"/>
    <w:rsid w:val="00F02D3F"/>
    <w:rsid w:val="00F02E94"/>
    <w:rsid w:val="00F03DAF"/>
    <w:rsid w:val="00F05216"/>
    <w:rsid w:val="00F0528D"/>
    <w:rsid w:val="00F06623"/>
    <w:rsid w:val="00F06868"/>
    <w:rsid w:val="00F06C67"/>
    <w:rsid w:val="00F06DC1"/>
    <w:rsid w:val="00F06DFD"/>
    <w:rsid w:val="00F06EEA"/>
    <w:rsid w:val="00F071D1"/>
    <w:rsid w:val="00F07533"/>
    <w:rsid w:val="00F10629"/>
    <w:rsid w:val="00F10CED"/>
    <w:rsid w:val="00F10E0B"/>
    <w:rsid w:val="00F11E6E"/>
    <w:rsid w:val="00F13206"/>
    <w:rsid w:val="00F140BC"/>
    <w:rsid w:val="00F157F2"/>
    <w:rsid w:val="00F15FA5"/>
    <w:rsid w:val="00F16FE3"/>
    <w:rsid w:val="00F1772B"/>
    <w:rsid w:val="00F209B7"/>
    <w:rsid w:val="00F20E88"/>
    <w:rsid w:val="00F2208B"/>
    <w:rsid w:val="00F22355"/>
    <w:rsid w:val="00F22D7D"/>
    <w:rsid w:val="00F2376F"/>
    <w:rsid w:val="00F23853"/>
    <w:rsid w:val="00F243D8"/>
    <w:rsid w:val="00F24D32"/>
    <w:rsid w:val="00F256D6"/>
    <w:rsid w:val="00F25E41"/>
    <w:rsid w:val="00F26DCD"/>
    <w:rsid w:val="00F30828"/>
    <w:rsid w:val="00F30D6C"/>
    <w:rsid w:val="00F313D6"/>
    <w:rsid w:val="00F3221A"/>
    <w:rsid w:val="00F332F1"/>
    <w:rsid w:val="00F337AD"/>
    <w:rsid w:val="00F35A59"/>
    <w:rsid w:val="00F376AE"/>
    <w:rsid w:val="00F40F0C"/>
    <w:rsid w:val="00F4124E"/>
    <w:rsid w:val="00F416C3"/>
    <w:rsid w:val="00F42C43"/>
    <w:rsid w:val="00F4319B"/>
    <w:rsid w:val="00F44B05"/>
    <w:rsid w:val="00F44E7C"/>
    <w:rsid w:val="00F46034"/>
    <w:rsid w:val="00F4640C"/>
    <w:rsid w:val="00F46CA9"/>
    <w:rsid w:val="00F47289"/>
    <w:rsid w:val="00F4766C"/>
    <w:rsid w:val="00F5060E"/>
    <w:rsid w:val="00F507D1"/>
    <w:rsid w:val="00F519CE"/>
    <w:rsid w:val="00F51ADA"/>
    <w:rsid w:val="00F52675"/>
    <w:rsid w:val="00F53826"/>
    <w:rsid w:val="00F54057"/>
    <w:rsid w:val="00F543BF"/>
    <w:rsid w:val="00F5570E"/>
    <w:rsid w:val="00F57333"/>
    <w:rsid w:val="00F57369"/>
    <w:rsid w:val="00F60203"/>
    <w:rsid w:val="00F607C5"/>
    <w:rsid w:val="00F60DEA"/>
    <w:rsid w:val="00F62178"/>
    <w:rsid w:val="00F6302A"/>
    <w:rsid w:val="00F63668"/>
    <w:rsid w:val="00F63950"/>
    <w:rsid w:val="00F6460A"/>
    <w:rsid w:val="00F64637"/>
    <w:rsid w:val="00F64C2B"/>
    <w:rsid w:val="00F651BE"/>
    <w:rsid w:val="00F654B4"/>
    <w:rsid w:val="00F67DC1"/>
    <w:rsid w:val="00F67F53"/>
    <w:rsid w:val="00F701C9"/>
    <w:rsid w:val="00F703BE"/>
    <w:rsid w:val="00F7041F"/>
    <w:rsid w:val="00F70C61"/>
    <w:rsid w:val="00F71F69"/>
    <w:rsid w:val="00F72B72"/>
    <w:rsid w:val="00F7378F"/>
    <w:rsid w:val="00F74BB9"/>
    <w:rsid w:val="00F75582"/>
    <w:rsid w:val="00F76700"/>
    <w:rsid w:val="00F767D7"/>
    <w:rsid w:val="00F76A25"/>
    <w:rsid w:val="00F76EFA"/>
    <w:rsid w:val="00F773BB"/>
    <w:rsid w:val="00F804BE"/>
    <w:rsid w:val="00F80884"/>
    <w:rsid w:val="00F817CE"/>
    <w:rsid w:val="00F82403"/>
    <w:rsid w:val="00F837D2"/>
    <w:rsid w:val="00F8456C"/>
    <w:rsid w:val="00F84E88"/>
    <w:rsid w:val="00F859D8"/>
    <w:rsid w:val="00F8659D"/>
    <w:rsid w:val="00F868F5"/>
    <w:rsid w:val="00F87BE5"/>
    <w:rsid w:val="00F9056A"/>
    <w:rsid w:val="00F90F8D"/>
    <w:rsid w:val="00F91324"/>
    <w:rsid w:val="00F91F83"/>
    <w:rsid w:val="00F92782"/>
    <w:rsid w:val="00F93AA9"/>
    <w:rsid w:val="00F94810"/>
    <w:rsid w:val="00F95561"/>
    <w:rsid w:val="00F95B2A"/>
    <w:rsid w:val="00F95BE7"/>
    <w:rsid w:val="00F96985"/>
    <w:rsid w:val="00F969F5"/>
    <w:rsid w:val="00F96C22"/>
    <w:rsid w:val="00F976B6"/>
    <w:rsid w:val="00F97838"/>
    <w:rsid w:val="00FA2BB3"/>
    <w:rsid w:val="00FA2DA3"/>
    <w:rsid w:val="00FA445E"/>
    <w:rsid w:val="00FA4693"/>
    <w:rsid w:val="00FA51F7"/>
    <w:rsid w:val="00FA5DD0"/>
    <w:rsid w:val="00FB3E0F"/>
    <w:rsid w:val="00FB4C80"/>
    <w:rsid w:val="00FB4D5A"/>
    <w:rsid w:val="00FB4FA4"/>
    <w:rsid w:val="00FB5A21"/>
    <w:rsid w:val="00FB5B20"/>
    <w:rsid w:val="00FB5C3F"/>
    <w:rsid w:val="00FB652E"/>
    <w:rsid w:val="00FB6A6A"/>
    <w:rsid w:val="00FB7FFB"/>
    <w:rsid w:val="00FC0B51"/>
    <w:rsid w:val="00FC1F38"/>
    <w:rsid w:val="00FC239A"/>
    <w:rsid w:val="00FC2CFC"/>
    <w:rsid w:val="00FC33F8"/>
    <w:rsid w:val="00FC36AD"/>
    <w:rsid w:val="00FC51B2"/>
    <w:rsid w:val="00FC5B7D"/>
    <w:rsid w:val="00FC6B71"/>
    <w:rsid w:val="00FC6CF3"/>
    <w:rsid w:val="00FC7429"/>
    <w:rsid w:val="00FC76B9"/>
    <w:rsid w:val="00FD07F6"/>
    <w:rsid w:val="00FD0CE1"/>
    <w:rsid w:val="00FD155E"/>
    <w:rsid w:val="00FD15CA"/>
    <w:rsid w:val="00FD1E8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4F07"/>
    <w:rsid w:val="00FE6C40"/>
    <w:rsid w:val="00FE7336"/>
    <w:rsid w:val="00FE787C"/>
    <w:rsid w:val="00FF07F1"/>
    <w:rsid w:val="00FF20EB"/>
    <w:rsid w:val="00FF2C08"/>
    <w:rsid w:val="00FF45A5"/>
    <w:rsid w:val="00FF4ACB"/>
    <w:rsid w:val="00FF527D"/>
    <w:rsid w:val="00FF5C91"/>
    <w:rsid w:val="00FF5E7A"/>
    <w:rsid w:val="00FF6270"/>
    <w:rsid w:val="00FF7C66"/>
    <w:rsid w:val="00FF7D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B6DC41C7-EB51-45FB-952A-7CD144D0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58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A6157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642B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D535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58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6157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FF6270"/>
    <w:pPr>
      <w:numPr>
        <w:numId w:val="2"/>
      </w:numPr>
      <w:tabs>
        <w:tab w:val="clear" w:pos="1304"/>
        <w:tab w:val="left" w:pos="1701"/>
      </w:tabs>
      <w:ind w:left="1701" w:hanging="1701"/>
    </w:pPr>
    <w:rPr>
      <w:rFonts w:ascii="Arial" w:hAnsi="Arial"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E47306"/>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642B1"/>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中等深浅网格 1 - 着色 21,列表段落,¥¡¡¡¡ì¬º¥¹¥È¶ÎÂä,ÁÐ³ö¶ÎÂä,목록 단"/>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 w:type="paragraph" w:customStyle="1" w:styleId="Appendix">
    <w:name w:val="Appendix"/>
    <w:basedOn w:val="Heading1"/>
    <w:next w:val="Normal"/>
    <w:qFormat/>
    <w:rsid w:val="002F121C"/>
    <w:pPr>
      <w:numPr>
        <w:numId w:val="16"/>
      </w:numPr>
      <w:ind w:left="357" w:hanging="357"/>
    </w:pPr>
  </w:style>
  <w:style w:type="paragraph" w:styleId="NormalWeb">
    <w:name w:val="Normal (Web)"/>
    <w:basedOn w:val="Normal"/>
    <w:uiPriority w:val="99"/>
    <w:qFormat/>
    <w:rsid w:val="00C46298"/>
    <w:pPr>
      <w:spacing w:before="100" w:beforeAutospacing="1" w:after="100" w:afterAutospacing="1" w:line="240" w:lineRule="auto"/>
    </w:pPr>
    <w:rPr>
      <w:rFonts w:eastAsia="SimSun"/>
      <w:color w:val="493118"/>
      <w:sz w:val="18"/>
      <w:szCs w:val="18"/>
    </w:rPr>
  </w:style>
  <w:style w:type="character" w:styleId="UnresolvedMention">
    <w:name w:val="Unresolved Mention"/>
    <w:basedOn w:val="DefaultParagraphFont"/>
    <w:uiPriority w:val="99"/>
    <w:unhideWhenUsed/>
    <w:rsid w:val="009F12DA"/>
    <w:rPr>
      <w:color w:val="605E5C"/>
      <w:shd w:val="clear" w:color="auto" w:fill="E1DFDD"/>
    </w:rPr>
  </w:style>
  <w:style w:type="character" w:styleId="Mention">
    <w:name w:val="Mention"/>
    <w:basedOn w:val="DefaultParagraphFont"/>
    <w:uiPriority w:val="99"/>
    <w:unhideWhenUsed/>
    <w:rsid w:val="009F12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4933">
      <w:bodyDiv w:val="1"/>
      <w:marLeft w:val="0"/>
      <w:marRight w:val="0"/>
      <w:marTop w:val="0"/>
      <w:marBottom w:val="0"/>
      <w:divBdr>
        <w:top w:val="none" w:sz="0" w:space="0" w:color="auto"/>
        <w:left w:val="none" w:sz="0" w:space="0" w:color="auto"/>
        <w:bottom w:val="none" w:sz="0" w:space="0" w:color="auto"/>
        <w:right w:val="none" w:sz="0" w:space="0" w:color="auto"/>
      </w:divBdr>
    </w:div>
    <w:div w:id="129330613">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66305407">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15855599">
      <w:bodyDiv w:val="1"/>
      <w:marLeft w:val="0"/>
      <w:marRight w:val="0"/>
      <w:marTop w:val="0"/>
      <w:marBottom w:val="0"/>
      <w:divBdr>
        <w:top w:val="none" w:sz="0" w:space="0" w:color="auto"/>
        <w:left w:val="none" w:sz="0" w:space="0" w:color="auto"/>
        <w:bottom w:val="none" w:sz="0" w:space="0" w:color="auto"/>
        <w:right w:val="none" w:sz="0" w:space="0" w:color="auto"/>
      </w:divBdr>
    </w:div>
    <w:div w:id="72630261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39873082">
      <w:bodyDiv w:val="1"/>
      <w:marLeft w:val="0"/>
      <w:marRight w:val="0"/>
      <w:marTop w:val="0"/>
      <w:marBottom w:val="0"/>
      <w:divBdr>
        <w:top w:val="none" w:sz="0" w:space="0" w:color="auto"/>
        <w:left w:val="none" w:sz="0" w:space="0" w:color="auto"/>
        <w:bottom w:val="none" w:sz="0" w:space="0" w:color="auto"/>
        <w:right w:val="none" w:sz="0" w:space="0" w:color="auto"/>
      </w:divBdr>
    </w:div>
    <w:div w:id="1197081116">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90440320">
      <w:bodyDiv w:val="1"/>
      <w:marLeft w:val="0"/>
      <w:marRight w:val="0"/>
      <w:marTop w:val="0"/>
      <w:marBottom w:val="0"/>
      <w:divBdr>
        <w:top w:val="none" w:sz="0" w:space="0" w:color="auto"/>
        <w:left w:val="none" w:sz="0" w:space="0" w:color="auto"/>
        <w:bottom w:val="none" w:sz="0" w:space="0" w:color="auto"/>
        <w:right w:val="none" w:sz="0" w:space="0" w:color="auto"/>
      </w:divBdr>
    </w:div>
    <w:div w:id="1719275889">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 w:id="204035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378DEE9-8C7F-4324-B21D-67B80BDC9A12}"/>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62736702-DC81-4612-A44B-EC596E85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20982</TotalTime>
  <Pages>9</Pages>
  <Words>3433</Words>
  <Characters>19146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22534</CharactersWithSpaces>
  <SharedDoc>false</SharedDoc>
  <HLinks>
    <vt:vector size="120" baseType="variant">
      <vt:variant>
        <vt:i4>1572916</vt:i4>
      </vt:variant>
      <vt:variant>
        <vt:i4>101</vt:i4>
      </vt:variant>
      <vt:variant>
        <vt:i4>0</vt:i4>
      </vt:variant>
      <vt:variant>
        <vt:i4>5</vt:i4>
      </vt:variant>
      <vt:variant>
        <vt:lpwstr/>
      </vt:variant>
      <vt:variant>
        <vt:lpwstr>_Toc54344867</vt:lpwstr>
      </vt:variant>
      <vt:variant>
        <vt:i4>1638452</vt:i4>
      </vt:variant>
      <vt:variant>
        <vt:i4>98</vt:i4>
      </vt:variant>
      <vt:variant>
        <vt:i4>0</vt:i4>
      </vt:variant>
      <vt:variant>
        <vt:i4>5</vt:i4>
      </vt:variant>
      <vt:variant>
        <vt:lpwstr/>
      </vt:variant>
      <vt:variant>
        <vt:lpwstr>_Toc54344866</vt:lpwstr>
      </vt:variant>
      <vt:variant>
        <vt:i4>1703988</vt:i4>
      </vt:variant>
      <vt:variant>
        <vt:i4>95</vt:i4>
      </vt:variant>
      <vt:variant>
        <vt:i4>0</vt:i4>
      </vt:variant>
      <vt:variant>
        <vt:i4>5</vt:i4>
      </vt:variant>
      <vt:variant>
        <vt:lpwstr/>
      </vt:variant>
      <vt:variant>
        <vt:lpwstr>_Toc54344865</vt:lpwstr>
      </vt:variant>
      <vt:variant>
        <vt:i4>1769524</vt:i4>
      </vt:variant>
      <vt:variant>
        <vt:i4>92</vt:i4>
      </vt:variant>
      <vt:variant>
        <vt:i4>0</vt:i4>
      </vt:variant>
      <vt:variant>
        <vt:i4>5</vt:i4>
      </vt:variant>
      <vt:variant>
        <vt:lpwstr/>
      </vt:variant>
      <vt:variant>
        <vt:lpwstr>_Toc54344864</vt:lpwstr>
      </vt:variant>
      <vt:variant>
        <vt:i4>1835060</vt:i4>
      </vt:variant>
      <vt:variant>
        <vt:i4>89</vt:i4>
      </vt:variant>
      <vt:variant>
        <vt:i4>0</vt:i4>
      </vt:variant>
      <vt:variant>
        <vt:i4>5</vt:i4>
      </vt:variant>
      <vt:variant>
        <vt:lpwstr/>
      </vt:variant>
      <vt:variant>
        <vt:lpwstr>_Toc54344863</vt:lpwstr>
      </vt:variant>
      <vt:variant>
        <vt:i4>1900596</vt:i4>
      </vt:variant>
      <vt:variant>
        <vt:i4>86</vt:i4>
      </vt:variant>
      <vt:variant>
        <vt:i4>0</vt:i4>
      </vt:variant>
      <vt:variant>
        <vt:i4>5</vt:i4>
      </vt:variant>
      <vt:variant>
        <vt:lpwstr/>
      </vt:variant>
      <vt:variant>
        <vt:lpwstr>_Toc54344862</vt:lpwstr>
      </vt:variant>
      <vt:variant>
        <vt:i4>1966132</vt:i4>
      </vt:variant>
      <vt:variant>
        <vt:i4>83</vt:i4>
      </vt:variant>
      <vt:variant>
        <vt:i4>0</vt:i4>
      </vt:variant>
      <vt:variant>
        <vt:i4>5</vt:i4>
      </vt:variant>
      <vt:variant>
        <vt:lpwstr/>
      </vt:variant>
      <vt:variant>
        <vt:lpwstr>_Toc54344861</vt:lpwstr>
      </vt:variant>
      <vt:variant>
        <vt:i4>2031668</vt:i4>
      </vt:variant>
      <vt:variant>
        <vt:i4>80</vt:i4>
      </vt:variant>
      <vt:variant>
        <vt:i4>0</vt:i4>
      </vt:variant>
      <vt:variant>
        <vt:i4>5</vt:i4>
      </vt:variant>
      <vt:variant>
        <vt:lpwstr/>
      </vt:variant>
      <vt:variant>
        <vt:lpwstr>_Toc54344860</vt:lpwstr>
      </vt:variant>
      <vt:variant>
        <vt:i4>1441847</vt:i4>
      </vt:variant>
      <vt:variant>
        <vt:i4>77</vt:i4>
      </vt:variant>
      <vt:variant>
        <vt:i4>0</vt:i4>
      </vt:variant>
      <vt:variant>
        <vt:i4>5</vt:i4>
      </vt:variant>
      <vt:variant>
        <vt:lpwstr/>
      </vt:variant>
      <vt:variant>
        <vt:lpwstr>_Toc54344859</vt:lpwstr>
      </vt:variant>
      <vt:variant>
        <vt:i4>1507383</vt:i4>
      </vt:variant>
      <vt:variant>
        <vt:i4>74</vt:i4>
      </vt:variant>
      <vt:variant>
        <vt:i4>0</vt:i4>
      </vt:variant>
      <vt:variant>
        <vt:i4>5</vt:i4>
      </vt:variant>
      <vt:variant>
        <vt:lpwstr/>
      </vt:variant>
      <vt:variant>
        <vt:lpwstr>_Toc54344858</vt:lpwstr>
      </vt:variant>
      <vt:variant>
        <vt:i4>1572919</vt:i4>
      </vt:variant>
      <vt:variant>
        <vt:i4>71</vt:i4>
      </vt:variant>
      <vt:variant>
        <vt:i4>0</vt:i4>
      </vt:variant>
      <vt:variant>
        <vt:i4>5</vt:i4>
      </vt:variant>
      <vt:variant>
        <vt:lpwstr/>
      </vt:variant>
      <vt:variant>
        <vt:lpwstr>_Toc54344857</vt:lpwstr>
      </vt:variant>
      <vt:variant>
        <vt:i4>1638455</vt:i4>
      </vt:variant>
      <vt:variant>
        <vt:i4>68</vt:i4>
      </vt:variant>
      <vt:variant>
        <vt:i4>0</vt:i4>
      </vt:variant>
      <vt:variant>
        <vt:i4>5</vt:i4>
      </vt:variant>
      <vt:variant>
        <vt:lpwstr/>
      </vt:variant>
      <vt:variant>
        <vt:lpwstr>_Toc54344856</vt:lpwstr>
      </vt:variant>
      <vt:variant>
        <vt:i4>1703991</vt:i4>
      </vt:variant>
      <vt:variant>
        <vt:i4>62</vt:i4>
      </vt:variant>
      <vt:variant>
        <vt:i4>0</vt:i4>
      </vt:variant>
      <vt:variant>
        <vt:i4>5</vt:i4>
      </vt:variant>
      <vt:variant>
        <vt:lpwstr/>
      </vt:variant>
      <vt:variant>
        <vt:lpwstr>_Toc54344855</vt:lpwstr>
      </vt:variant>
      <vt:variant>
        <vt:i4>1769527</vt:i4>
      </vt:variant>
      <vt:variant>
        <vt:i4>59</vt:i4>
      </vt:variant>
      <vt:variant>
        <vt:i4>0</vt:i4>
      </vt:variant>
      <vt:variant>
        <vt:i4>5</vt:i4>
      </vt:variant>
      <vt:variant>
        <vt:lpwstr/>
      </vt:variant>
      <vt:variant>
        <vt:lpwstr>_Toc54344854</vt:lpwstr>
      </vt:variant>
      <vt:variant>
        <vt:i4>1835063</vt:i4>
      </vt:variant>
      <vt:variant>
        <vt:i4>56</vt:i4>
      </vt:variant>
      <vt:variant>
        <vt:i4>0</vt:i4>
      </vt:variant>
      <vt:variant>
        <vt:i4>5</vt:i4>
      </vt:variant>
      <vt:variant>
        <vt:lpwstr/>
      </vt:variant>
      <vt:variant>
        <vt:lpwstr>_Toc54344853</vt:lpwstr>
      </vt:variant>
      <vt:variant>
        <vt:i4>1900599</vt:i4>
      </vt:variant>
      <vt:variant>
        <vt:i4>53</vt:i4>
      </vt:variant>
      <vt:variant>
        <vt:i4>0</vt:i4>
      </vt:variant>
      <vt:variant>
        <vt:i4>5</vt:i4>
      </vt:variant>
      <vt:variant>
        <vt:lpwstr/>
      </vt:variant>
      <vt:variant>
        <vt:lpwstr>_Toc54344852</vt:lpwstr>
      </vt:variant>
      <vt:variant>
        <vt:i4>1966135</vt:i4>
      </vt:variant>
      <vt:variant>
        <vt:i4>50</vt:i4>
      </vt:variant>
      <vt:variant>
        <vt:i4>0</vt:i4>
      </vt:variant>
      <vt:variant>
        <vt:i4>5</vt:i4>
      </vt:variant>
      <vt:variant>
        <vt:lpwstr/>
      </vt:variant>
      <vt:variant>
        <vt:lpwstr>_Toc54344851</vt:lpwstr>
      </vt:variant>
      <vt:variant>
        <vt:i4>2031671</vt:i4>
      </vt:variant>
      <vt:variant>
        <vt:i4>47</vt:i4>
      </vt:variant>
      <vt:variant>
        <vt:i4>0</vt:i4>
      </vt:variant>
      <vt:variant>
        <vt:i4>5</vt:i4>
      </vt:variant>
      <vt:variant>
        <vt:lpwstr/>
      </vt:variant>
      <vt:variant>
        <vt:lpwstr>_Toc54344850</vt:lpwstr>
      </vt:variant>
      <vt:variant>
        <vt:i4>1441846</vt:i4>
      </vt:variant>
      <vt:variant>
        <vt:i4>44</vt:i4>
      </vt:variant>
      <vt:variant>
        <vt:i4>0</vt:i4>
      </vt:variant>
      <vt:variant>
        <vt:i4>5</vt:i4>
      </vt:variant>
      <vt:variant>
        <vt:lpwstr/>
      </vt:variant>
      <vt:variant>
        <vt:lpwstr>_Toc54344849</vt:lpwstr>
      </vt:variant>
      <vt:variant>
        <vt:i4>1507382</vt:i4>
      </vt:variant>
      <vt:variant>
        <vt:i4>41</vt:i4>
      </vt:variant>
      <vt:variant>
        <vt:i4>0</vt:i4>
      </vt:variant>
      <vt:variant>
        <vt:i4>5</vt:i4>
      </vt:variant>
      <vt:variant>
        <vt:lpwstr/>
      </vt:variant>
      <vt:variant>
        <vt:lpwstr>_Toc54344848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736</cp:revision>
  <dcterms:created xsi:type="dcterms:W3CDTF">2019-05-04T21:01:00Z</dcterms:created>
  <dcterms:modified xsi:type="dcterms:W3CDTF">2021-11-05T18:04:00Z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